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B2" w:rsidRPr="00E800E8" w:rsidRDefault="00EC6433" w:rsidP="008C70B2">
      <w:pPr>
        <w:spacing w:beforeLines="60" w:before="144" w:afterLines="60" w:after="144" w:line="240" w:lineRule="auto"/>
        <w:jc w:val="center"/>
        <w:rPr>
          <w:rFonts w:ascii="Arial Bold" w:hAnsi="Arial Bold" w:cs="Arial"/>
          <w:b/>
          <w:caps/>
          <w:sz w:val="32"/>
          <w:szCs w:val="32"/>
        </w:rPr>
      </w:pPr>
      <w:r>
        <w:rPr>
          <w:rFonts w:ascii="Arial Bold" w:hAnsi="Arial Bold" w:cs="Arial"/>
          <w:b/>
          <w:caps/>
          <w:sz w:val="32"/>
          <w:szCs w:val="32"/>
        </w:rPr>
        <w:t>TALENT DEVELOPMENT PROGRAMME</w:t>
      </w:r>
    </w:p>
    <w:p w:rsidR="008C70B2" w:rsidRPr="00E800E8" w:rsidRDefault="008C70B2" w:rsidP="008C70B2">
      <w:pPr>
        <w:spacing w:beforeLines="60" w:before="144" w:afterLines="60" w:after="144" w:line="240" w:lineRule="auto"/>
        <w:jc w:val="center"/>
        <w:rPr>
          <w:rFonts w:ascii="Arial Bold" w:hAnsi="Arial Bold" w:cs="Arial"/>
          <w:b/>
          <w:caps/>
          <w:sz w:val="32"/>
          <w:szCs w:val="32"/>
        </w:rPr>
      </w:pPr>
      <w:r w:rsidRPr="00E800E8">
        <w:rPr>
          <w:rFonts w:ascii="Arial Bold" w:hAnsi="Arial Bold" w:cs="Arial"/>
          <w:b/>
          <w:caps/>
          <w:sz w:val="32"/>
          <w:szCs w:val="32"/>
        </w:rPr>
        <w:t>Selection Policy and Process</w:t>
      </w:r>
    </w:p>
    <w:p w:rsidR="008C70B2" w:rsidRDefault="008C70B2" w:rsidP="008C70B2">
      <w:pPr>
        <w:spacing w:beforeLines="60" w:before="144" w:afterLines="60" w:after="144" w:line="240" w:lineRule="auto"/>
        <w:rPr>
          <w:rFonts w:ascii="Arial" w:hAnsi="Arial" w:cs="Arial"/>
        </w:rPr>
      </w:pPr>
    </w:p>
    <w:p w:rsidR="008C70B2" w:rsidRPr="00E800E8" w:rsidRDefault="008C70B2" w:rsidP="008C70B2">
      <w:pPr>
        <w:spacing w:beforeLines="60" w:before="144" w:afterLines="60" w:after="144" w:line="240" w:lineRule="auto"/>
        <w:rPr>
          <w:rFonts w:ascii="Arial" w:hAnsi="Arial" w:cs="Arial"/>
        </w:rPr>
      </w:pPr>
      <w:r w:rsidRPr="00E800E8">
        <w:rPr>
          <w:rFonts w:ascii="Arial" w:hAnsi="Arial" w:cs="Arial"/>
        </w:rPr>
        <w:t xml:space="preserve">Selection </w:t>
      </w:r>
      <w:r>
        <w:rPr>
          <w:rFonts w:ascii="Arial" w:hAnsi="Arial" w:cs="Arial"/>
        </w:rPr>
        <w:t>for</w:t>
      </w:r>
      <w:r w:rsidRPr="00E800E8">
        <w:rPr>
          <w:rFonts w:ascii="Arial" w:hAnsi="Arial" w:cs="Arial"/>
        </w:rPr>
        <w:t xml:space="preserve"> the </w:t>
      </w:r>
      <w:r w:rsidR="00EC6433">
        <w:rPr>
          <w:rFonts w:ascii="Arial" w:hAnsi="Arial" w:cs="Arial"/>
        </w:rPr>
        <w:t>WGI Talent Development Programme (TDP)</w:t>
      </w:r>
      <w:r>
        <w:rPr>
          <w:rFonts w:ascii="Arial" w:hAnsi="Arial" w:cs="Arial"/>
        </w:rPr>
        <w:t xml:space="preserve"> – Performance &amp; Development</w:t>
      </w:r>
      <w:r w:rsidRPr="00E800E8">
        <w:rPr>
          <w:rFonts w:ascii="Arial" w:hAnsi="Arial" w:cs="Arial"/>
        </w:rPr>
        <w:t xml:space="preserve"> </w:t>
      </w:r>
      <w:r w:rsidR="00EC6433">
        <w:rPr>
          <w:rFonts w:ascii="Arial" w:hAnsi="Arial" w:cs="Arial"/>
        </w:rPr>
        <w:t>Groups</w:t>
      </w:r>
      <w:r w:rsidRPr="00E800E8">
        <w:rPr>
          <w:rFonts w:ascii="Arial" w:hAnsi="Arial" w:cs="Arial"/>
        </w:rPr>
        <w:t xml:space="preserve"> is recognition that a young golfer has attained a standard of pla</w:t>
      </w:r>
      <w:r w:rsidR="00EC6433">
        <w:rPr>
          <w:rFonts w:ascii="Arial" w:hAnsi="Arial" w:cs="Arial"/>
        </w:rPr>
        <w:t>y regarded as being at the top</w:t>
      </w:r>
      <w:r w:rsidRPr="00E800E8">
        <w:rPr>
          <w:rFonts w:ascii="Arial" w:hAnsi="Arial" w:cs="Arial"/>
        </w:rPr>
        <w:t xml:space="preserve"> amateur (</w:t>
      </w:r>
      <w:r w:rsidR="00EC6433">
        <w:rPr>
          <w:rFonts w:ascii="Arial" w:hAnsi="Arial" w:cs="Arial"/>
        </w:rPr>
        <w:t>Performance Group</w:t>
      </w:r>
      <w:r w:rsidRPr="00E800E8">
        <w:rPr>
          <w:rFonts w:ascii="Arial" w:hAnsi="Arial" w:cs="Arial"/>
        </w:rPr>
        <w:t xml:space="preserve">) </w:t>
      </w:r>
      <w:r w:rsidR="00EC6433">
        <w:rPr>
          <w:rFonts w:ascii="Arial" w:hAnsi="Arial" w:cs="Arial"/>
        </w:rPr>
        <w:t>or emerging</w:t>
      </w:r>
      <w:r>
        <w:rPr>
          <w:rFonts w:ascii="Arial" w:hAnsi="Arial" w:cs="Arial"/>
        </w:rPr>
        <w:t xml:space="preserve"> </w:t>
      </w:r>
      <w:r w:rsidR="00EC6433">
        <w:rPr>
          <w:rFonts w:ascii="Arial" w:hAnsi="Arial" w:cs="Arial"/>
        </w:rPr>
        <w:t>(Development Group</w:t>
      </w:r>
      <w:r w:rsidRPr="00E800E8">
        <w:rPr>
          <w:rFonts w:ascii="Arial" w:hAnsi="Arial" w:cs="Arial"/>
        </w:rPr>
        <w:t xml:space="preserve">) </w:t>
      </w:r>
      <w:r>
        <w:rPr>
          <w:rFonts w:ascii="Arial" w:hAnsi="Arial" w:cs="Arial"/>
        </w:rPr>
        <w:t xml:space="preserve">level </w:t>
      </w:r>
      <w:r w:rsidRPr="00E800E8">
        <w:rPr>
          <w:rFonts w:ascii="Arial" w:hAnsi="Arial" w:cs="Arial"/>
        </w:rPr>
        <w:t xml:space="preserve">within the Wellington District, </w:t>
      </w:r>
      <w:r>
        <w:rPr>
          <w:rFonts w:ascii="Arial" w:hAnsi="Arial" w:cs="Arial"/>
        </w:rPr>
        <w:t xml:space="preserve">is expected to represent Wellington at both U19 and Senior Men’s/Women’s levels, </w:t>
      </w:r>
      <w:r w:rsidRPr="00E800E8">
        <w:rPr>
          <w:rFonts w:ascii="Arial" w:hAnsi="Arial" w:cs="Arial"/>
        </w:rPr>
        <w:t xml:space="preserve">and has potential to become a nationally successful golfer.  </w:t>
      </w:r>
    </w:p>
    <w:p w:rsidR="008C70B2" w:rsidRPr="00E800E8" w:rsidRDefault="00EC6433" w:rsidP="008C70B2">
      <w:pPr>
        <w:spacing w:beforeLines="60" w:before="144" w:afterLines="60" w:after="144" w:line="240" w:lineRule="auto"/>
        <w:rPr>
          <w:rFonts w:ascii="Arial" w:hAnsi="Arial" w:cs="Arial"/>
          <w:b/>
          <w:sz w:val="24"/>
          <w:szCs w:val="24"/>
        </w:rPr>
      </w:pPr>
      <w:r>
        <w:rPr>
          <w:rFonts w:ascii="Arial" w:hAnsi="Arial" w:cs="Arial"/>
          <w:b/>
          <w:sz w:val="24"/>
          <w:szCs w:val="24"/>
        </w:rPr>
        <w:t>Membership of the TDP</w:t>
      </w:r>
    </w:p>
    <w:p w:rsidR="008C70B2" w:rsidRPr="00E800E8" w:rsidRDefault="00EC6433" w:rsidP="008C70B2">
      <w:pPr>
        <w:pStyle w:val="ListParagraph"/>
        <w:numPr>
          <w:ilvl w:val="0"/>
          <w:numId w:val="1"/>
        </w:numPr>
        <w:spacing w:beforeLines="60" w:before="144" w:afterLines="60" w:after="144" w:line="240" w:lineRule="auto"/>
        <w:rPr>
          <w:rFonts w:ascii="Arial" w:hAnsi="Arial" w:cs="Arial"/>
        </w:rPr>
      </w:pPr>
      <w:r>
        <w:rPr>
          <w:rFonts w:ascii="Arial" w:hAnsi="Arial" w:cs="Arial"/>
        </w:rPr>
        <w:t>Membership of the TDP</w:t>
      </w:r>
      <w:r w:rsidR="008C70B2" w:rsidRPr="00E800E8">
        <w:rPr>
          <w:rFonts w:ascii="Arial" w:hAnsi="Arial" w:cs="Arial"/>
        </w:rPr>
        <w:t xml:space="preserve"> year will run from 1 April to 31 December each year</w:t>
      </w:r>
    </w:p>
    <w:p w:rsidR="008C70B2" w:rsidRPr="00E800E8" w:rsidRDefault="008C70B2" w:rsidP="008C70B2">
      <w:pPr>
        <w:pStyle w:val="ListParagraph"/>
        <w:numPr>
          <w:ilvl w:val="0"/>
          <w:numId w:val="1"/>
        </w:numPr>
        <w:spacing w:beforeLines="60" w:before="144" w:afterLines="60" w:after="144" w:line="240" w:lineRule="auto"/>
        <w:rPr>
          <w:rFonts w:ascii="Arial" w:hAnsi="Arial" w:cs="Arial"/>
        </w:rPr>
      </w:pPr>
      <w:r w:rsidRPr="00E800E8">
        <w:rPr>
          <w:rFonts w:ascii="Arial" w:hAnsi="Arial" w:cs="Arial"/>
        </w:rPr>
        <w:t xml:space="preserve">The </w:t>
      </w:r>
      <w:r w:rsidR="00744817">
        <w:rPr>
          <w:rFonts w:ascii="Arial" w:hAnsi="Arial" w:cs="Arial"/>
        </w:rPr>
        <w:t>TDP Team</w:t>
      </w:r>
      <w:r w:rsidRPr="00E800E8">
        <w:rPr>
          <w:rFonts w:ascii="Arial" w:hAnsi="Arial" w:cs="Arial"/>
        </w:rPr>
        <w:t xml:space="preserve"> will notify the newly selected and returning </w:t>
      </w:r>
      <w:r w:rsidR="00EC6433">
        <w:rPr>
          <w:rFonts w:ascii="Arial" w:hAnsi="Arial" w:cs="Arial"/>
        </w:rPr>
        <w:t>TDP</w:t>
      </w:r>
      <w:r w:rsidRPr="00E800E8">
        <w:rPr>
          <w:rFonts w:ascii="Arial" w:hAnsi="Arial" w:cs="Arial"/>
        </w:rPr>
        <w:t xml:space="preserve"> members during the month of April, individually or at an event where appropriate</w:t>
      </w:r>
    </w:p>
    <w:p w:rsidR="008C70B2" w:rsidRPr="00E800E8" w:rsidRDefault="008C70B2" w:rsidP="008C70B2">
      <w:pPr>
        <w:pStyle w:val="ListParagraph"/>
        <w:numPr>
          <w:ilvl w:val="0"/>
          <w:numId w:val="1"/>
        </w:numPr>
        <w:spacing w:beforeLines="60" w:before="144" w:afterLines="60" w:after="144" w:line="240" w:lineRule="auto"/>
        <w:rPr>
          <w:rFonts w:ascii="Arial" w:hAnsi="Arial" w:cs="Arial"/>
        </w:rPr>
      </w:pPr>
      <w:r w:rsidRPr="00E800E8">
        <w:rPr>
          <w:rFonts w:ascii="Arial" w:hAnsi="Arial" w:cs="Arial"/>
        </w:rPr>
        <w:t xml:space="preserve">Commitment will be made to players for terms specific to each tier of the programme.  Generally the </w:t>
      </w:r>
      <w:r>
        <w:rPr>
          <w:rFonts w:ascii="Arial" w:hAnsi="Arial" w:cs="Arial"/>
        </w:rPr>
        <w:t>Performance</w:t>
      </w:r>
      <w:r w:rsidR="00EC6433">
        <w:rPr>
          <w:rFonts w:ascii="Arial" w:hAnsi="Arial" w:cs="Arial"/>
        </w:rPr>
        <w:t xml:space="preserve"> and Development Groups</w:t>
      </w:r>
      <w:r w:rsidRPr="00E800E8">
        <w:rPr>
          <w:rFonts w:ascii="Arial" w:hAnsi="Arial" w:cs="Arial"/>
        </w:rPr>
        <w:t xml:space="preserve"> will be reviewed twice a year but players may be added to, or removed from, the </w:t>
      </w:r>
      <w:r w:rsidR="00EC6433">
        <w:rPr>
          <w:rFonts w:ascii="Arial" w:hAnsi="Arial" w:cs="Arial"/>
        </w:rPr>
        <w:t>Group</w:t>
      </w:r>
      <w:r w:rsidRPr="00E800E8">
        <w:rPr>
          <w:rFonts w:ascii="Arial" w:hAnsi="Arial" w:cs="Arial"/>
        </w:rPr>
        <w:t>s at any time</w:t>
      </w:r>
    </w:p>
    <w:p w:rsidR="008C70B2" w:rsidRPr="00E800E8" w:rsidRDefault="008C70B2" w:rsidP="008C70B2">
      <w:pPr>
        <w:pStyle w:val="ListParagraph"/>
        <w:numPr>
          <w:ilvl w:val="0"/>
          <w:numId w:val="1"/>
        </w:numPr>
        <w:spacing w:beforeLines="60" w:before="144" w:afterLines="60" w:after="144" w:line="240" w:lineRule="auto"/>
        <w:rPr>
          <w:rFonts w:ascii="Arial" w:hAnsi="Arial" w:cs="Arial"/>
        </w:rPr>
      </w:pPr>
      <w:r w:rsidRPr="00E800E8">
        <w:rPr>
          <w:rFonts w:ascii="Arial" w:hAnsi="Arial" w:cs="Arial"/>
        </w:rPr>
        <w:t xml:space="preserve">The number of players that may be included in the </w:t>
      </w:r>
      <w:r w:rsidR="00EC6433">
        <w:rPr>
          <w:rFonts w:ascii="Arial" w:hAnsi="Arial" w:cs="Arial"/>
        </w:rPr>
        <w:t>TDP</w:t>
      </w:r>
      <w:r w:rsidRPr="00E800E8">
        <w:rPr>
          <w:rFonts w:ascii="Arial" w:hAnsi="Arial" w:cs="Arial"/>
        </w:rPr>
        <w:t xml:space="preserve"> structure will be reviewed annually.  The final decision on membership will be made based on this number as well as consideration of the player numbers/depth at the time of selection   </w:t>
      </w:r>
    </w:p>
    <w:p w:rsidR="008C70B2" w:rsidRPr="00E800E8" w:rsidRDefault="008C70B2" w:rsidP="008C70B2">
      <w:pPr>
        <w:spacing w:beforeLines="60" w:before="144" w:afterLines="60" w:after="144" w:line="240" w:lineRule="auto"/>
        <w:rPr>
          <w:rFonts w:ascii="Arial" w:hAnsi="Arial" w:cs="Arial"/>
          <w:b/>
          <w:sz w:val="24"/>
          <w:szCs w:val="24"/>
        </w:rPr>
      </w:pPr>
      <w:r w:rsidRPr="00E800E8">
        <w:rPr>
          <w:rFonts w:ascii="Arial" w:hAnsi="Arial" w:cs="Arial"/>
          <w:b/>
          <w:sz w:val="24"/>
          <w:szCs w:val="24"/>
        </w:rPr>
        <w:t>Selection Criteria</w:t>
      </w:r>
    </w:p>
    <w:p w:rsidR="008C70B2" w:rsidRPr="00E800E8" w:rsidRDefault="008C70B2" w:rsidP="008C70B2">
      <w:pPr>
        <w:spacing w:beforeLines="60" w:before="144" w:afterLines="60" w:after="144" w:line="240" w:lineRule="auto"/>
        <w:rPr>
          <w:rFonts w:ascii="Arial" w:hAnsi="Arial" w:cs="Arial"/>
          <w:b/>
          <w:i/>
        </w:rPr>
      </w:pPr>
      <w:r w:rsidRPr="00E800E8">
        <w:rPr>
          <w:rFonts w:ascii="Arial" w:hAnsi="Arial" w:cs="Arial"/>
          <w:b/>
          <w:i/>
        </w:rPr>
        <w:t>F</w:t>
      </w:r>
      <w:r>
        <w:rPr>
          <w:rFonts w:ascii="Arial" w:hAnsi="Arial" w:cs="Arial"/>
          <w:b/>
          <w:i/>
        </w:rPr>
        <w:t>ollowing on f</w:t>
      </w:r>
      <w:r w:rsidR="00744817">
        <w:rPr>
          <w:rFonts w:ascii="Arial" w:hAnsi="Arial" w:cs="Arial"/>
          <w:b/>
          <w:i/>
        </w:rPr>
        <w:t>rom 2018</w:t>
      </w:r>
      <w:r w:rsidRPr="00E800E8">
        <w:rPr>
          <w:rFonts w:ascii="Arial" w:hAnsi="Arial" w:cs="Arial"/>
          <w:b/>
          <w:i/>
        </w:rPr>
        <w:t xml:space="preserve">, </w:t>
      </w:r>
      <w:r>
        <w:rPr>
          <w:rFonts w:ascii="Arial" w:hAnsi="Arial" w:cs="Arial"/>
          <w:b/>
          <w:i/>
        </w:rPr>
        <w:t xml:space="preserve">the </w:t>
      </w:r>
      <w:r w:rsidR="00EC6433">
        <w:rPr>
          <w:rFonts w:ascii="Arial" w:hAnsi="Arial" w:cs="Arial"/>
          <w:b/>
          <w:i/>
        </w:rPr>
        <w:t>Talent Development Programme</w:t>
      </w:r>
      <w:r w:rsidRPr="00E800E8">
        <w:rPr>
          <w:rFonts w:ascii="Arial" w:hAnsi="Arial" w:cs="Arial"/>
          <w:b/>
          <w:i/>
        </w:rPr>
        <w:t xml:space="preserve"> selection criteria </w:t>
      </w:r>
      <w:r>
        <w:rPr>
          <w:rFonts w:ascii="Arial" w:hAnsi="Arial" w:cs="Arial"/>
          <w:b/>
          <w:i/>
        </w:rPr>
        <w:t>for 2</w:t>
      </w:r>
      <w:r w:rsidR="00744817">
        <w:rPr>
          <w:rFonts w:ascii="Arial" w:hAnsi="Arial" w:cs="Arial"/>
          <w:b/>
          <w:i/>
        </w:rPr>
        <w:t>019</w:t>
      </w:r>
      <w:r>
        <w:rPr>
          <w:rFonts w:ascii="Arial" w:hAnsi="Arial" w:cs="Arial"/>
          <w:b/>
          <w:i/>
        </w:rPr>
        <w:t xml:space="preserve"> </w:t>
      </w:r>
      <w:r w:rsidRPr="00E800E8">
        <w:rPr>
          <w:rFonts w:ascii="Arial" w:hAnsi="Arial" w:cs="Arial"/>
          <w:b/>
          <w:i/>
        </w:rPr>
        <w:t xml:space="preserve">are aligned with those set down by New Zealand Golf for selection to the National </w:t>
      </w:r>
      <w:r w:rsidR="00EC6433">
        <w:rPr>
          <w:rFonts w:ascii="Arial" w:hAnsi="Arial" w:cs="Arial"/>
          <w:b/>
          <w:i/>
        </w:rPr>
        <w:t xml:space="preserve">Talent </w:t>
      </w:r>
      <w:r w:rsidRPr="00E800E8">
        <w:rPr>
          <w:rFonts w:ascii="Arial" w:hAnsi="Arial" w:cs="Arial"/>
          <w:b/>
          <w:i/>
        </w:rPr>
        <w:t xml:space="preserve">Development Programme, with the aim of support </w:t>
      </w:r>
      <w:r w:rsidR="00744817">
        <w:rPr>
          <w:rFonts w:ascii="Arial" w:hAnsi="Arial" w:cs="Arial"/>
          <w:b/>
          <w:i/>
        </w:rPr>
        <w:t xml:space="preserve">to </w:t>
      </w:r>
      <w:r w:rsidRPr="00E800E8">
        <w:rPr>
          <w:rFonts w:ascii="Arial" w:hAnsi="Arial" w:cs="Arial"/>
          <w:b/>
          <w:i/>
        </w:rPr>
        <w:t xml:space="preserve">the elite player pathway.  </w:t>
      </w:r>
    </w:p>
    <w:p w:rsidR="008C70B2" w:rsidRPr="00E800E8" w:rsidRDefault="008C70B2" w:rsidP="008C70B2">
      <w:pPr>
        <w:spacing w:beforeLines="60" w:before="144" w:afterLines="60" w:after="144" w:line="240" w:lineRule="auto"/>
        <w:rPr>
          <w:rFonts w:ascii="Arial" w:hAnsi="Arial" w:cs="Arial"/>
          <w:b/>
          <w:i/>
        </w:rPr>
      </w:pPr>
    </w:p>
    <w:p w:rsidR="008C70B2" w:rsidRPr="00E800E8" w:rsidRDefault="008C70B2" w:rsidP="008C70B2">
      <w:pPr>
        <w:spacing w:beforeLines="60" w:before="144" w:afterLines="60" w:after="144" w:line="240" w:lineRule="auto"/>
        <w:rPr>
          <w:rFonts w:ascii="Arial" w:hAnsi="Arial" w:cs="Arial"/>
        </w:rPr>
      </w:pPr>
      <w:r w:rsidRPr="00E800E8">
        <w:rPr>
          <w:rFonts w:ascii="Arial" w:hAnsi="Arial" w:cs="Arial"/>
        </w:rPr>
        <w:t xml:space="preserve">Players will be assessed for selection into </w:t>
      </w:r>
      <w:r>
        <w:rPr>
          <w:rFonts w:ascii="Arial" w:hAnsi="Arial" w:cs="Arial"/>
        </w:rPr>
        <w:t>either the Performance or Development level</w:t>
      </w:r>
      <w:r w:rsidRPr="00E800E8">
        <w:rPr>
          <w:rFonts w:ascii="Arial" w:hAnsi="Arial" w:cs="Arial"/>
        </w:rPr>
        <w:t xml:space="preserve"> </w:t>
      </w:r>
      <w:r>
        <w:rPr>
          <w:rFonts w:ascii="Arial" w:hAnsi="Arial" w:cs="Arial"/>
        </w:rPr>
        <w:t xml:space="preserve">of </w:t>
      </w:r>
      <w:r w:rsidRPr="00E800E8">
        <w:rPr>
          <w:rFonts w:ascii="Arial" w:hAnsi="Arial" w:cs="Arial"/>
        </w:rPr>
        <w:t xml:space="preserve">the Wellington </w:t>
      </w:r>
      <w:r w:rsidR="00EC6433">
        <w:rPr>
          <w:rFonts w:ascii="Arial" w:hAnsi="Arial" w:cs="Arial"/>
        </w:rPr>
        <w:t>Talent Development</w:t>
      </w:r>
      <w:r w:rsidRPr="00E800E8">
        <w:rPr>
          <w:rFonts w:ascii="Arial" w:hAnsi="Arial" w:cs="Arial"/>
        </w:rPr>
        <w:t xml:space="preserve"> Programme</w:t>
      </w:r>
      <w:r>
        <w:rPr>
          <w:rFonts w:ascii="Arial" w:hAnsi="Arial" w:cs="Arial"/>
        </w:rPr>
        <w:t xml:space="preserve"> based </w:t>
      </w:r>
      <w:r w:rsidRPr="00E800E8">
        <w:rPr>
          <w:rFonts w:ascii="Arial" w:hAnsi="Arial" w:cs="Arial"/>
        </w:rPr>
        <w:t xml:space="preserve">on their: </w:t>
      </w:r>
    </w:p>
    <w:p w:rsidR="008C70B2" w:rsidRPr="00E800E8" w:rsidRDefault="008C70B2" w:rsidP="008C70B2">
      <w:pPr>
        <w:pStyle w:val="ListParagraph"/>
        <w:numPr>
          <w:ilvl w:val="0"/>
          <w:numId w:val="2"/>
        </w:numPr>
        <w:spacing w:beforeLines="60" w:before="144" w:afterLines="60" w:after="144" w:line="240" w:lineRule="auto"/>
        <w:rPr>
          <w:rFonts w:ascii="Arial" w:hAnsi="Arial" w:cs="Arial"/>
          <w:b/>
          <w:i/>
        </w:rPr>
      </w:pPr>
      <w:r w:rsidRPr="00E800E8">
        <w:rPr>
          <w:rFonts w:ascii="Arial" w:hAnsi="Arial" w:cs="Arial"/>
          <w:b/>
          <w:i/>
        </w:rPr>
        <w:t>Current and historical mastery of the game of golf</w:t>
      </w:r>
      <w:r>
        <w:rPr>
          <w:rFonts w:ascii="Arial" w:hAnsi="Arial" w:cs="Arial"/>
          <w:b/>
          <w:i/>
        </w:rPr>
        <w:t xml:space="preserve"> - Performance, Technical and Tactical</w:t>
      </w:r>
    </w:p>
    <w:p w:rsidR="008C70B2" w:rsidRPr="00E800E8" w:rsidRDefault="008C70B2" w:rsidP="008C70B2">
      <w:pPr>
        <w:pStyle w:val="ListParagraph"/>
        <w:numPr>
          <w:ilvl w:val="0"/>
          <w:numId w:val="2"/>
        </w:numPr>
        <w:spacing w:beforeLines="60" w:before="144" w:afterLines="60" w:after="144" w:line="240" w:lineRule="auto"/>
        <w:rPr>
          <w:rFonts w:ascii="Arial" w:hAnsi="Arial" w:cs="Arial"/>
          <w:b/>
          <w:i/>
        </w:rPr>
      </w:pPr>
      <w:r w:rsidRPr="00E800E8">
        <w:rPr>
          <w:rFonts w:ascii="Arial" w:hAnsi="Arial" w:cs="Arial"/>
          <w:b/>
          <w:i/>
        </w:rPr>
        <w:t>Additional dimensions for golfing success</w:t>
      </w:r>
      <w:r>
        <w:rPr>
          <w:rFonts w:ascii="Arial" w:hAnsi="Arial" w:cs="Arial"/>
          <w:b/>
          <w:i/>
        </w:rPr>
        <w:t>, including mental, physical, behavioural and organisational.</w:t>
      </w:r>
    </w:p>
    <w:p w:rsidR="008C70B2" w:rsidRPr="00E800E8" w:rsidRDefault="008C70B2" w:rsidP="008C70B2">
      <w:pPr>
        <w:spacing w:beforeLines="60" w:before="144" w:afterLines="60" w:after="144" w:line="240" w:lineRule="auto"/>
        <w:rPr>
          <w:rFonts w:ascii="Arial" w:hAnsi="Arial" w:cs="Arial"/>
        </w:rPr>
      </w:pPr>
    </w:p>
    <w:p w:rsidR="008C70B2" w:rsidRPr="00E800E8" w:rsidRDefault="008C70B2" w:rsidP="008C70B2">
      <w:pPr>
        <w:spacing w:beforeLines="60" w:before="144" w:afterLines="60" w:after="144" w:line="240" w:lineRule="auto"/>
        <w:rPr>
          <w:rFonts w:ascii="Arial" w:hAnsi="Arial" w:cs="Arial"/>
        </w:rPr>
      </w:pPr>
      <w:r w:rsidRPr="00E800E8">
        <w:rPr>
          <w:rFonts w:ascii="Arial" w:hAnsi="Arial" w:cs="Arial"/>
        </w:rPr>
        <w:t xml:space="preserve">In this document, we explain the many aspects that will be considered when selecting players into the programme.  The general principle is that a player may be selected at entry level primarily on performance based criteria with a view to building the additional requirements for golfing success over time.  Outcome goals will be developed for each player across each skill development area.  For a player to remain in the programme there is an expectation that any ‘gaps’ will be addressed and coaching strategies developed for correct skill development within each player’s personal coaching programme.  </w:t>
      </w:r>
    </w:p>
    <w:p w:rsidR="008C70B2" w:rsidRPr="00E800E8" w:rsidRDefault="008C70B2" w:rsidP="008C70B2">
      <w:pPr>
        <w:spacing w:beforeLines="60" w:before="144" w:afterLines="60" w:after="144" w:line="240" w:lineRule="auto"/>
        <w:rPr>
          <w:rFonts w:ascii="Arial" w:hAnsi="Arial" w:cs="Arial"/>
          <w:sz w:val="24"/>
          <w:szCs w:val="24"/>
        </w:rPr>
      </w:pPr>
    </w:p>
    <w:p w:rsidR="008C70B2" w:rsidRDefault="008C70B2" w:rsidP="008C70B2">
      <w:pPr>
        <w:spacing w:beforeLines="60" w:before="144" w:afterLines="60" w:after="144" w:line="240" w:lineRule="auto"/>
        <w:rPr>
          <w:rFonts w:ascii="Arial" w:hAnsi="Arial" w:cs="Arial"/>
          <w:b/>
          <w:sz w:val="24"/>
          <w:szCs w:val="24"/>
        </w:rPr>
      </w:pPr>
      <w:r>
        <w:rPr>
          <w:rFonts w:ascii="Arial" w:hAnsi="Arial" w:cs="Arial"/>
          <w:b/>
          <w:sz w:val="24"/>
          <w:szCs w:val="24"/>
        </w:rPr>
        <w:br w:type="page"/>
      </w:r>
      <w:bookmarkStart w:id="0" w:name="_GoBack"/>
      <w:bookmarkEnd w:id="0"/>
    </w:p>
    <w:p w:rsidR="008C70B2" w:rsidRDefault="008C70B2" w:rsidP="008C70B2">
      <w:pPr>
        <w:spacing w:beforeLines="60" w:before="144" w:afterLines="60" w:after="144" w:line="240" w:lineRule="auto"/>
        <w:rPr>
          <w:rFonts w:ascii="Arial" w:hAnsi="Arial" w:cs="Arial"/>
          <w:b/>
          <w:sz w:val="24"/>
          <w:szCs w:val="24"/>
        </w:rPr>
      </w:pPr>
      <w:r w:rsidRPr="00E800E8">
        <w:rPr>
          <w:rFonts w:ascii="Arial" w:hAnsi="Arial" w:cs="Arial"/>
          <w:b/>
          <w:sz w:val="24"/>
          <w:szCs w:val="24"/>
        </w:rPr>
        <w:lastRenderedPageBreak/>
        <w:t>Selection Criteria Explained:</w:t>
      </w:r>
    </w:p>
    <w:tbl>
      <w:tblPr>
        <w:tblStyle w:val="TableGrid"/>
        <w:tblW w:w="0" w:type="auto"/>
        <w:tblLook w:val="04A0" w:firstRow="1" w:lastRow="0" w:firstColumn="1" w:lastColumn="0" w:noHBand="0" w:noVBand="1"/>
      </w:tblPr>
      <w:tblGrid>
        <w:gridCol w:w="10459"/>
      </w:tblGrid>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Current and Historical Golf Mastery</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Below we provide an overview of the following components of selection:</w:t>
            </w:r>
          </w:p>
          <w:p w:rsidR="008C70B2" w:rsidRPr="00E800E8" w:rsidRDefault="008C70B2" w:rsidP="008C70B2">
            <w:pPr>
              <w:pStyle w:val="ListParagraph"/>
              <w:numPr>
                <w:ilvl w:val="0"/>
                <w:numId w:val="3"/>
              </w:numPr>
              <w:spacing w:beforeLines="60" w:before="144" w:afterLines="60" w:after="144"/>
              <w:rPr>
                <w:rFonts w:ascii="Arial" w:hAnsi="Arial" w:cs="Arial"/>
              </w:rPr>
            </w:pPr>
            <w:r w:rsidRPr="00E800E8">
              <w:rPr>
                <w:rFonts w:ascii="Arial" w:hAnsi="Arial" w:cs="Arial"/>
              </w:rPr>
              <w:t>Performance Mastery</w:t>
            </w:r>
          </w:p>
          <w:p w:rsidR="008C70B2" w:rsidRPr="00E800E8" w:rsidRDefault="008C70B2" w:rsidP="008C70B2">
            <w:pPr>
              <w:pStyle w:val="ListParagraph"/>
              <w:numPr>
                <w:ilvl w:val="0"/>
                <w:numId w:val="3"/>
              </w:numPr>
              <w:spacing w:beforeLines="60" w:before="144" w:afterLines="60" w:after="144"/>
              <w:rPr>
                <w:rFonts w:ascii="Arial" w:hAnsi="Arial" w:cs="Arial"/>
              </w:rPr>
            </w:pPr>
            <w:r w:rsidRPr="00E800E8">
              <w:rPr>
                <w:rFonts w:ascii="Arial" w:hAnsi="Arial" w:cs="Arial"/>
              </w:rPr>
              <w:t>Technical Mastery</w:t>
            </w:r>
          </w:p>
          <w:p w:rsidR="008C70B2" w:rsidRPr="00E800E8" w:rsidRDefault="008C70B2" w:rsidP="008C70B2">
            <w:pPr>
              <w:pStyle w:val="ListParagraph"/>
              <w:numPr>
                <w:ilvl w:val="0"/>
                <w:numId w:val="3"/>
              </w:numPr>
              <w:spacing w:beforeLines="60" w:before="144" w:afterLines="60" w:after="144"/>
              <w:rPr>
                <w:rFonts w:ascii="Arial" w:hAnsi="Arial" w:cs="Arial"/>
              </w:rPr>
            </w:pPr>
            <w:r w:rsidRPr="00E800E8">
              <w:rPr>
                <w:rFonts w:ascii="Arial" w:hAnsi="Arial" w:cs="Arial"/>
              </w:rPr>
              <w:t>Tactical Mastery</w:t>
            </w:r>
          </w:p>
          <w:p w:rsidR="008C70B2" w:rsidRPr="00E800E8" w:rsidRDefault="008C70B2" w:rsidP="00EC6433">
            <w:pPr>
              <w:spacing w:beforeLines="60" w:before="144" w:afterLines="60" w:after="144"/>
              <w:rPr>
                <w:rFonts w:ascii="Arial" w:hAnsi="Arial" w:cs="Arial"/>
              </w:rPr>
            </w:pPr>
            <w:r w:rsidRPr="00E800E8">
              <w:rPr>
                <w:rFonts w:ascii="Arial" w:hAnsi="Arial" w:cs="Arial"/>
              </w:rPr>
              <w:t xml:space="preserve">Selection criteria are developed for selection to the </w:t>
            </w:r>
            <w:r w:rsidR="00EC6433">
              <w:rPr>
                <w:rFonts w:ascii="Arial" w:hAnsi="Arial" w:cs="Arial"/>
              </w:rPr>
              <w:t>TDP</w:t>
            </w:r>
            <w:r w:rsidRPr="00E800E8">
              <w:rPr>
                <w:rFonts w:ascii="Arial" w:hAnsi="Arial" w:cs="Arial"/>
              </w:rPr>
              <w:t xml:space="preserve">, with selection to the Development </w:t>
            </w:r>
            <w:r w:rsidR="00EC6433">
              <w:rPr>
                <w:rFonts w:ascii="Arial" w:hAnsi="Arial" w:cs="Arial"/>
              </w:rPr>
              <w:t>Group</w:t>
            </w:r>
            <w:r w:rsidRPr="00E800E8">
              <w:rPr>
                <w:rFonts w:ascii="Arial" w:hAnsi="Arial" w:cs="Arial"/>
              </w:rPr>
              <w:t xml:space="preserve">s taking into account the age and stage of the individual, and their potential for advancing to the </w:t>
            </w:r>
            <w:r w:rsidR="00EC6433">
              <w:rPr>
                <w:rFonts w:ascii="Arial" w:hAnsi="Arial" w:cs="Arial"/>
              </w:rPr>
              <w:t>TDP</w:t>
            </w:r>
            <w:r w:rsidRPr="00E800E8">
              <w:rPr>
                <w:rFonts w:ascii="Arial" w:hAnsi="Arial" w:cs="Arial"/>
              </w:rPr>
              <w:t xml:space="preserve"> level, as far as this is able to be assessed.</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rPr>
              <w:br w:type="page"/>
            </w:r>
            <w:r w:rsidRPr="00E800E8">
              <w:rPr>
                <w:rFonts w:ascii="Arial" w:hAnsi="Arial" w:cs="Arial"/>
              </w:rPr>
              <w:br w:type="page"/>
            </w:r>
            <w:r w:rsidRPr="00E800E8">
              <w:rPr>
                <w:rFonts w:ascii="Arial" w:hAnsi="Arial" w:cs="Arial"/>
                <w:b/>
              </w:rPr>
              <w:t>Performance Mastery</w:t>
            </w:r>
          </w:p>
        </w:tc>
      </w:tr>
      <w:tr w:rsidR="008C70B2" w:rsidRPr="00E800E8" w:rsidTr="006A5077">
        <w:tc>
          <w:tcPr>
            <w:tcW w:w="10459" w:type="dxa"/>
          </w:tcPr>
          <w:p w:rsidR="008C70B2" w:rsidRDefault="008C70B2" w:rsidP="006A5077">
            <w:pPr>
              <w:spacing w:beforeLines="60" w:before="144" w:afterLines="60" w:after="144"/>
              <w:rPr>
                <w:rFonts w:ascii="Arial" w:hAnsi="Arial" w:cs="Arial"/>
              </w:rPr>
            </w:pPr>
            <w:r w:rsidRPr="00E800E8">
              <w:rPr>
                <w:rFonts w:ascii="Arial" w:hAnsi="Arial" w:cs="Arial"/>
              </w:rPr>
              <w:t xml:space="preserve">A player’s performance will be monitored progressively over time, particularly </w:t>
            </w:r>
            <w:r>
              <w:rPr>
                <w:rFonts w:ascii="Arial" w:hAnsi="Arial" w:cs="Arial"/>
              </w:rPr>
              <w:t xml:space="preserve">in the months leading up to selection, </w:t>
            </w:r>
            <w:r w:rsidRPr="00E800E8">
              <w:rPr>
                <w:rFonts w:ascii="Arial" w:hAnsi="Arial" w:cs="Arial"/>
              </w:rPr>
              <w:t>during the events listed with the Wellington Golf Order of Merit (OOM</w:t>
            </w:r>
            <w:r>
              <w:rPr>
                <w:rFonts w:ascii="Arial" w:hAnsi="Arial" w:cs="Arial"/>
              </w:rPr>
              <w:t>) from the previous year and those held in the current year prior to selection.  Please refer to Appendix 1</w:t>
            </w:r>
          </w:p>
          <w:p w:rsidR="008C70B2" w:rsidRPr="00E800E8" w:rsidRDefault="008C70B2" w:rsidP="006A5077">
            <w:pPr>
              <w:spacing w:beforeLines="60" w:before="144" w:afterLines="60" w:after="144"/>
              <w:rPr>
                <w:rFonts w:ascii="Arial" w:hAnsi="Arial" w:cs="Arial"/>
              </w:rPr>
            </w:pPr>
            <w:r w:rsidRPr="00E800E8">
              <w:rPr>
                <w:rFonts w:ascii="Arial" w:hAnsi="Arial" w:cs="Arial"/>
              </w:rPr>
              <w:t>While the OOM results are considered a fair reflection of most player’s performance over a year, the more relevant data for player selection will be taken from</w:t>
            </w:r>
            <w:r>
              <w:rPr>
                <w:rFonts w:ascii="Arial" w:hAnsi="Arial" w:cs="Arial"/>
              </w:rPr>
              <w:t xml:space="preserve"> regular rounds recorded in </w:t>
            </w:r>
            <w:proofErr w:type="spellStart"/>
            <w:r>
              <w:rPr>
                <w:rFonts w:ascii="Arial" w:hAnsi="Arial" w:cs="Arial"/>
              </w:rPr>
              <w:t>DotGolf</w:t>
            </w:r>
            <w:proofErr w:type="spellEnd"/>
            <w:r>
              <w:rPr>
                <w:rFonts w:ascii="Arial" w:hAnsi="Arial" w:cs="Arial"/>
              </w:rPr>
              <w:t xml:space="preserve"> and </w:t>
            </w:r>
            <w:r w:rsidRPr="00E800E8">
              <w:rPr>
                <w:rFonts w:ascii="Arial" w:hAnsi="Arial" w:cs="Arial"/>
              </w:rPr>
              <w:t>the results of each event</w:t>
            </w:r>
            <w:r>
              <w:rPr>
                <w:rFonts w:ascii="Arial" w:hAnsi="Arial" w:cs="Arial"/>
              </w:rPr>
              <w:t xml:space="preserve"> in which a player has competed</w:t>
            </w:r>
            <w:r w:rsidRPr="00E800E8">
              <w:rPr>
                <w:rFonts w:ascii="Arial" w:hAnsi="Arial" w:cs="Arial"/>
              </w:rPr>
              <w:t xml:space="preserve">.  </w:t>
            </w:r>
          </w:p>
          <w:p w:rsidR="008C70B2" w:rsidRPr="00E800E8" w:rsidRDefault="008C70B2" w:rsidP="006A5077">
            <w:pPr>
              <w:spacing w:beforeLines="60" w:before="144" w:afterLines="60" w:after="144"/>
              <w:rPr>
                <w:rFonts w:ascii="Arial" w:hAnsi="Arial" w:cs="Arial"/>
              </w:rPr>
            </w:pPr>
            <w:r w:rsidRPr="00E800E8">
              <w:rPr>
                <w:rFonts w:ascii="Arial" w:hAnsi="Arial" w:cs="Arial"/>
              </w:rPr>
              <w:t>At this level, performance in club open events and WGI Interclub, are carefully analysed as well as those at District or National level. Performance will be assessed against the field of competitors, and the selectors will take into account the playing environment, the category and level of each event, and the age and stage of development of the player.</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Technical Mastery</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For selection </w:t>
            </w:r>
            <w:r w:rsidR="00EC6433">
              <w:rPr>
                <w:rFonts w:ascii="Arial" w:hAnsi="Arial" w:cs="Arial"/>
              </w:rPr>
              <w:t>in</w:t>
            </w:r>
            <w:r w:rsidRPr="00E800E8">
              <w:rPr>
                <w:rFonts w:ascii="Arial" w:hAnsi="Arial" w:cs="Arial"/>
              </w:rPr>
              <w:t xml:space="preserve">to the </w:t>
            </w:r>
            <w:r w:rsidR="00EC6433">
              <w:rPr>
                <w:rFonts w:ascii="Arial" w:hAnsi="Arial" w:cs="Arial"/>
              </w:rPr>
              <w:t>TDP</w:t>
            </w:r>
            <w:r w:rsidRPr="00E800E8">
              <w:rPr>
                <w:rFonts w:ascii="Arial" w:hAnsi="Arial" w:cs="Arial"/>
              </w:rPr>
              <w:t>, a player’s full swing technique will ideally be of a level that will enable them to compete consistently within a district and national competitive environment, consistent with their age and stage of development.</w:t>
            </w:r>
          </w:p>
          <w:p w:rsidR="008C70B2" w:rsidRPr="00E800E8" w:rsidRDefault="008C70B2" w:rsidP="006A5077">
            <w:pPr>
              <w:spacing w:beforeLines="60" w:before="144" w:afterLines="60" w:after="144"/>
              <w:rPr>
                <w:rFonts w:ascii="Arial" w:hAnsi="Arial" w:cs="Arial"/>
              </w:rPr>
            </w:pPr>
            <w:r w:rsidRPr="00E800E8">
              <w:rPr>
                <w:rFonts w:ascii="Arial" w:hAnsi="Arial" w:cs="Arial"/>
              </w:rPr>
              <w:t>Their short game mastery, including putting, will be of an equally high standard.  This will be measured by both their levels of performance and displayed technical proficiency/consistency.</w:t>
            </w:r>
          </w:p>
          <w:p w:rsidR="008C70B2" w:rsidRPr="00E800E8" w:rsidRDefault="008C70B2" w:rsidP="006A5077">
            <w:pPr>
              <w:spacing w:beforeLines="60" w:before="144" w:afterLines="60" w:after="144"/>
              <w:rPr>
                <w:rFonts w:ascii="Arial" w:hAnsi="Arial" w:cs="Arial"/>
              </w:rPr>
            </w:pPr>
            <w:r w:rsidRPr="00E800E8">
              <w:rPr>
                <w:rFonts w:ascii="Arial" w:hAnsi="Arial" w:cs="Arial"/>
              </w:rPr>
              <w:t>The player’s technique for all shots will produce repeatable movement patterns and dynamics that allow for a high degree of consistency.  Their full swing will generate high club speed and ball speed.</w:t>
            </w:r>
          </w:p>
          <w:p w:rsidR="008C70B2" w:rsidRPr="006F11D5" w:rsidRDefault="008C70B2" w:rsidP="006A5077">
            <w:pPr>
              <w:spacing w:beforeLines="60" w:before="144" w:afterLines="60" w:after="144"/>
              <w:rPr>
                <w:rFonts w:ascii="Arial" w:hAnsi="Arial" w:cs="Arial"/>
              </w:rPr>
            </w:pPr>
            <w:r w:rsidRPr="00E800E8">
              <w:rPr>
                <w:rFonts w:ascii="Arial" w:hAnsi="Arial" w:cs="Arial"/>
              </w:rPr>
              <w:t>The player should also have a level of adaptability that allows them to produce multiple shot shapes with minor changes in swing mechanics.</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Tactical Mastery</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b/>
              </w:rPr>
            </w:pPr>
            <w:r w:rsidRPr="00E800E8">
              <w:rPr>
                <w:rFonts w:ascii="Arial" w:hAnsi="Arial" w:cs="Arial"/>
                <w:b/>
              </w:rPr>
              <w:t>Tactical Option Taking</w:t>
            </w:r>
          </w:p>
          <w:p w:rsidR="008C70B2" w:rsidRPr="00E800E8" w:rsidRDefault="008C70B2" w:rsidP="006A5077">
            <w:pPr>
              <w:spacing w:beforeLines="60" w:before="144" w:afterLines="60" w:after="144"/>
              <w:rPr>
                <w:rFonts w:ascii="Arial" w:hAnsi="Arial" w:cs="Arial"/>
              </w:rPr>
            </w:pPr>
            <w:r w:rsidRPr="00E800E8">
              <w:rPr>
                <w:rFonts w:ascii="Arial" w:hAnsi="Arial" w:cs="Arial"/>
              </w:rPr>
              <w:t>The player will have the ability to visualise a variety of shot options and mostly chooses the correct shot to play based on their current skill level or shot difficulty at hand.</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 xml:space="preserve">Course Mapping and Game Planning </w:t>
            </w:r>
          </w:p>
          <w:p w:rsidR="008C70B2" w:rsidRDefault="008C70B2" w:rsidP="006A5077">
            <w:pPr>
              <w:spacing w:beforeLines="60" w:before="144" w:afterLines="60" w:after="144"/>
              <w:rPr>
                <w:rFonts w:ascii="Arial" w:hAnsi="Arial" w:cs="Arial"/>
              </w:rPr>
            </w:pPr>
            <w:r w:rsidRPr="00E800E8">
              <w:rPr>
                <w:rFonts w:ascii="Arial" w:hAnsi="Arial" w:cs="Arial"/>
              </w:rPr>
              <w:t>Makes comprehensive course notes for event preparation specific to their own game and style of play.  Understand what and why they are undertaking this process as part of their pre event preparation.</w:t>
            </w:r>
          </w:p>
          <w:p w:rsidR="008C70B2" w:rsidRPr="00E800E8" w:rsidRDefault="008C70B2" w:rsidP="006A5077">
            <w:pPr>
              <w:spacing w:beforeLines="60" w:before="144" w:afterLines="60" w:after="144"/>
              <w:rPr>
                <w:rFonts w:ascii="Arial" w:hAnsi="Arial" w:cs="Arial"/>
              </w:rPr>
            </w:pPr>
          </w:p>
        </w:tc>
      </w:tr>
    </w:tbl>
    <w:p w:rsidR="008C70B2" w:rsidRDefault="008C70B2" w:rsidP="008C70B2">
      <w:pPr>
        <w:spacing w:beforeLines="60" w:before="144" w:afterLines="60" w:after="144" w:line="240" w:lineRule="auto"/>
        <w:rPr>
          <w:rFonts w:ascii="Arial" w:hAnsi="Arial" w:cs="Arial"/>
          <w:b/>
          <w:sz w:val="24"/>
          <w:szCs w:val="24"/>
        </w:rPr>
      </w:pPr>
    </w:p>
    <w:p w:rsidR="008C70B2" w:rsidRPr="00E800E8" w:rsidRDefault="008C70B2" w:rsidP="008C70B2">
      <w:pPr>
        <w:spacing w:beforeLines="60" w:before="144" w:afterLines="60" w:after="144" w:line="240" w:lineRule="auto"/>
        <w:rPr>
          <w:rFonts w:ascii="Arial" w:hAnsi="Arial" w:cs="Arial"/>
          <w:b/>
          <w:sz w:val="24"/>
          <w:szCs w:val="24"/>
        </w:rPr>
        <w:sectPr w:rsidR="008C70B2" w:rsidRPr="00E800E8" w:rsidSect="00E800E8">
          <w:headerReference w:type="default" r:id="rId8"/>
          <w:footerReference w:type="default" r:id="rId9"/>
          <w:headerReference w:type="first" r:id="rId10"/>
          <w:footerReference w:type="first" r:id="rId11"/>
          <w:pgSz w:w="11909" w:h="16834" w:code="9"/>
          <w:pgMar w:top="720" w:right="720" w:bottom="720" w:left="720" w:header="576" w:footer="720" w:gutter="0"/>
          <w:cols w:space="720"/>
          <w:titlePg/>
          <w:docGrid w:linePitch="360"/>
        </w:sectPr>
      </w:pPr>
      <w:r>
        <w:rPr>
          <w:rFonts w:ascii="Arial" w:hAnsi="Arial" w:cs="Arial"/>
          <w:b/>
          <w:sz w:val="24"/>
          <w:szCs w:val="24"/>
        </w:rPr>
        <w:br w:type="page"/>
      </w:r>
      <w:r w:rsidRPr="00E800E8">
        <w:rPr>
          <w:rFonts w:ascii="Arial" w:hAnsi="Arial" w:cs="Arial"/>
          <w:b/>
          <w:sz w:val="24"/>
          <w:szCs w:val="24"/>
        </w:rPr>
        <w:lastRenderedPageBreak/>
        <w:t>Additional Dimensions explained:</w:t>
      </w:r>
    </w:p>
    <w:tbl>
      <w:tblPr>
        <w:tblStyle w:val="TableGrid"/>
        <w:tblW w:w="0" w:type="auto"/>
        <w:tblLook w:val="04A0" w:firstRow="1" w:lastRow="0" w:firstColumn="1" w:lastColumn="0" w:noHBand="0" w:noVBand="1"/>
      </w:tblPr>
      <w:tblGrid>
        <w:gridCol w:w="9739"/>
      </w:tblGrid>
      <w:tr w:rsidR="008C70B2" w:rsidRPr="00E800E8" w:rsidTr="006A5077">
        <w:tc>
          <w:tcPr>
            <w:tcW w:w="973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Additional Dimensions for Golfing Success</w:t>
            </w:r>
          </w:p>
        </w:tc>
      </w:tr>
      <w:tr w:rsidR="008C70B2" w:rsidRPr="00E800E8" w:rsidTr="006A5077">
        <w:tc>
          <w:tcPr>
            <w:tcW w:w="9739" w:type="dxa"/>
          </w:tcPr>
          <w:p w:rsidR="008C70B2" w:rsidRPr="00E800E8" w:rsidRDefault="008C70B2" w:rsidP="008C70B2">
            <w:pPr>
              <w:pStyle w:val="ListParagraph"/>
              <w:numPr>
                <w:ilvl w:val="0"/>
                <w:numId w:val="4"/>
              </w:numPr>
              <w:spacing w:beforeLines="60" w:before="144" w:afterLines="60" w:after="144"/>
              <w:rPr>
                <w:rFonts w:ascii="Arial" w:hAnsi="Arial" w:cs="Arial"/>
                <w:b/>
              </w:rPr>
            </w:pPr>
            <w:r w:rsidRPr="00E800E8">
              <w:rPr>
                <w:rFonts w:ascii="Arial" w:hAnsi="Arial" w:cs="Arial"/>
                <w:b/>
              </w:rPr>
              <w:t>Mental Dimension</w:t>
            </w:r>
          </w:p>
          <w:p w:rsidR="008C70B2" w:rsidRPr="00E800E8" w:rsidRDefault="008C70B2" w:rsidP="008C70B2">
            <w:pPr>
              <w:pStyle w:val="ListParagraph"/>
              <w:numPr>
                <w:ilvl w:val="0"/>
                <w:numId w:val="4"/>
              </w:numPr>
              <w:spacing w:beforeLines="60" w:before="144" w:afterLines="60" w:after="144"/>
              <w:rPr>
                <w:rFonts w:ascii="Arial" w:hAnsi="Arial" w:cs="Arial"/>
                <w:b/>
              </w:rPr>
            </w:pPr>
            <w:r w:rsidRPr="00E800E8">
              <w:rPr>
                <w:rFonts w:ascii="Arial" w:hAnsi="Arial" w:cs="Arial"/>
                <w:b/>
              </w:rPr>
              <w:t>Physical Dimension</w:t>
            </w:r>
          </w:p>
          <w:p w:rsidR="008C70B2" w:rsidRPr="00E800E8" w:rsidRDefault="008C70B2" w:rsidP="008C70B2">
            <w:pPr>
              <w:pStyle w:val="ListParagraph"/>
              <w:numPr>
                <w:ilvl w:val="0"/>
                <w:numId w:val="4"/>
              </w:numPr>
              <w:spacing w:beforeLines="60" w:before="144" w:afterLines="60" w:after="144"/>
              <w:rPr>
                <w:rFonts w:ascii="Arial" w:hAnsi="Arial" w:cs="Arial"/>
                <w:b/>
              </w:rPr>
            </w:pPr>
            <w:r w:rsidRPr="00E800E8">
              <w:rPr>
                <w:rFonts w:ascii="Arial" w:hAnsi="Arial" w:cs="Arial"/>
                <w:b/>
              </w:rPr>
              <w:t>Character/behavioural Dimension</w:t>
            </w:r>
          </w:p>
          <w:p w:rsidR="008C70B2" w:rsidRPr="00E800E8" w:rsidRDefault="008C70B2" w:rsidP="008C70B2">
            <w:pPr>
              <w:pStyle w:val="ListParagraph"/>
              <w:numPr>
                <w:ilvl w:val="0"/>
                <w:numId w:val="4"/>
              </w:numPr>
              <w:spacing w:beforeLines="60" w:before="144" w:afterLines="60" w:after="144"/>
              <w:rPr>
                <w:rFonts w:ascii="Arial" w:hAnsi="Arial" w:cs="Arial"/>
              </w:rPr>
            </w:pPr>
            <w:r w:rsidRPr="00E800E8">
              <w:rPr>
                <w:rFonts w:ascii="Arial" w:hAnsi="Arial" w:cs="Arial"/>
                <w:b/>
              </w:rPr>
              <w:t>Organisational Dimension</w:t>
            </w:r>
          </w:p>
          <w:p w:rsidR="008C70B2" w:rsidRPr="00E800E8" w:rsidRDefault="008C70B2" w:rsidP="006A5077">
            <w:pPr>
              <w:pStyle w:val="ListParagraph"/>
              <w:spacing w:beforeLines="60" w:before="144" w:afterLines="60" w:after="144"/>
              <w:rPr>
                <w:rFonts w:ascii="Arial" w:hAnsi="Arial" w:cs="Arial"/>
              </w:rPr>
            </w:pP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rPr>
              <w:br w:type="page"/>
            </w:r>
            <w:r w:rsidRPr="00E800E8">
              <w:rPr>
                <w:rFonts w:ascii="Arial" w:hAnsi="Arial" w:cs="Arial"/>
                <w:b/>
              </w:rPr>
              <w:t>Mental Dimension</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b/>
              </w:rPr>
            </w:pPr>
            <w:r w:rsidRPr="00E800E8">
              <w:rPr>
                <w:rFonts w:ascii="Arial" w:hAnsi="Arial" w:cs="Arial"/>
                <w:b/>
              </w:rPr>
              <w:t>Readiness</w:t>
            </w:r>
          </w:p>
          <w:p w:rsidR="008C70B2" w:rsidRPr="00E800E8" w:rsidRDefault="008C70B2" w:rsidP="006A5077">
            <w:pPr>
              <w:spacing w:beforeLines="60" w:before="144" w:afterLines="60" w:after="144"/>
              <w:rPr>
                <w:rFonts w:ascii="Arial" w:hAnsi="Arial" w:cs="Arial"/>
              </w:rPr>
            </w:pPr>
            <w:r w:rsidRPr="00E800E8">
              <w:rPr>
                <w:rFonts w:ascii="Arial" w:hAnsi="Arial" w:cs="Arial"/>
              </w:rPr>
              <w:t>The player has the ability to consistently prepare mentally and be ready to play and train at a high level.</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Focus</w:t>
            </w:r>
          </w:p>
          <w:p w:rsidR="008C70B2" w:rsidRPr="00E800E8" w:rsidRDefault="008C70B2" w:rsidP="006A5077">
            <w:pPr>
              <w:spacing w:beforeLines="60" w:before="144" w:afterLines="60" w:after="144"/>
              <w:rPr>
                <w:rFonts w:ascii="Arial" w:hAnsi="Arial" w:cs="Arial"/>
              </w:rPr>
            </w:pPr>
            <w:r w:rsidRPr="00E800E8">
              <w:rPr>
                <w:rFonts w:ascii="Arial" w:hAnsi="Arial" w:cs="Arial"/>
              </w:rPr>
              <w:t>The player demonstrates the ability to remain focussed on performance related tasks and be able to perform consistently at a high level.</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Performance Review</w:t>
            </w:r>
          </w:p>
          <w:p w:rsidR="008C70B2" w:rsidRPr="00E800E8" w:rsidRDefault="008C70B2" w:rsidP="006A5077">
            <w:pPr>
              <w:spacing w:beforeLines="60" w:before="144" w:afterLines="60" w:after="144"/>
              <w:rPr>
                <w:rFonts w:ascii="Arial" w:hAnsi="Arial" w:cs="Arial"/>
              </w:rPr>
            </w:pPr>
            <w:r w:rsidRPr="00E800E8">
              <w:rPr>
                <w:rFonts w:ascii="Arial" w:hAnsi="Arial" w:cs="Arial"/>
              </w:rPr>
              <w:t>The player demonstrates the ability to learn from tournament performance, and take these learnings to the next training or event</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Physical Dimension</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The following key areas will be being addressed by a player to ensure on-going physical development:</w:t>
            </w:r>
          </w:p>
          <w:p w:rsidR="008C70B2" w:rsidRPr="00E800E8" w:rsidRDefault="008C70B2" w:rsidP="006A5077">
            <w:pPr>
              <w:spacing w:beforeLines="60" w:before="144" w:afterLines="60" w:after="144"/>
              <w:rPr>
                <w:rFonts w:ascii="Arial" w:hAnsi="Arial" w:cs="Arial"/>
              </w:rPr>
            </w:pPr>
            <w:r w:rsidRPr="00E800E8">
              <w:rPr>
                <w:rFonts w:ascii="Arial" w:hAnsi="Arial" w:cs="Arial"/>
                <w:i/>
              </w:rPr>
              <w:t>Stability, mobility and flexibility, balance and co-ordination, strength and conditioning, injury management, diet and nutrition</w:t>
            </w:r>
          </w:p>
          <w:p w:rsidR="008C70B2" w:rsidRPr="00E800E8" w:rsidRDefault="008C70B2" w:rsidP="006A5077">
            <w:pPr>
              <w:spacing w:beforeLines="60" w:before="144" w:afterLines="60" w:after="144"/>
              <w:rPr>
                <w:rFonts w:ascii="Arial" w:hAnsi="Arial" w:cs="Arial"/>
              </w:rPr>
            </w:pPr>
            <w:r w:rsidRPr="00E800E8">
              <w:rPr>
                <w:rFonts w:ascii="Arial" w:hAnsi="Arial" w:cs="Arial"/>
              </w:rPr>
              <w:t>Completion of appropriate screening in the following areas is also a requirement:</w:t>
            </w:r>
          </w:p>
          <w:p w:rsidR="008C70B2" w:rsidRPr="00E800E8" w:rsidRDefault="008C70B2" w:rsidP="006A5077">
            <w:pPr>
              <w:spacing w:beforeLines="60" w:before="144" w:afterLines="60" w:after="144"/>
              <w:rPr>
                <w:rFonts w:ascii="Arial" w:hAnsi="Arial" w:cs="Arial"/>
                <w:i/>
              </w:rPr>
            </w:pPr>
            <w:r w:rsidRPr="00E800E8">
              <w:rPr>
                <w:rFonts w:ascii="Arial" w:hAnsi="Arial" w:cs="Arial"/>
                <w:i/>
              </w:rPr>
              <w:t>Muscle balance, optometry, podiatry and general health screening</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Character/Behavioural Dimension</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b/>
              </w:rPr>
            </w:pPr>
            <w:r w:rsidRPr="00E800E8">
              <w:rPr>
                <w:rFonts w:ascii="Arial" w:hAnsi="Arial" w:cs="Arial"/>
                <w:b/>
              </w:rPr>
              <w:t>Resilience</w:t>
            </w:r>
          </w:p>
          <w:p w:rsidR="008C70B2" w:rsidRPr="00E800E8" w:rsidRDefault="008C70B2" w:rsidP="006A5077">
            <w:pPr>
              <w:spacing w:beforeLines="60" w:before="144" w:afterLines="60" w:after="144"/>
              <w:rPr>
                <w:rFonts w:ascii="Arial" w:hAnsi="Arial" w:cs="Arial"/>
              </w:rPr>
            </w:pPr>
            <w:r w:rsidRPr="00E800E8">
              <w:rPr>
                <w:rFonts w:ascii="Arial" w:hAnsi="Arial" w:cs="Arial"/>
              </w:rPr>
              <w:t>This is displayed by the player’s ability to ‘bounce back’ from difficult experience (</w:t>
            </w:r>
            <w:proofErr w:type="spellStart"/>
            <w:r w:rsidRPr="00E800E8">
              <w:rPr>
                <w:rFonts w:ascii="Arial" w:hAnsi="Arial" w:cs="Arial"/>
              </w:rPr>
              <w:t>eg</w:t>
            </w:r>
            <w:proofErr w:type="spellEnd"/>
            <w:r w:rsidRPr="00E800E8">
              <w:rPr>
                <w:rFonts w:ascii="Arial" w:hAnsi="Arial" w:cs="Arial"/>
              </w:rPr>
              <w:t xml:space="preserve"> a bad round).  Also required is the ability to progress forward when things are going well (</w:t>
            </w:r>
            <w:proofErr w:type="spellStart"/>
            <w:r w:rsidRPr="00E800E8">
              <w:rPr>
                <w:rFonts w:ascii="Arial" w:hAnsi="Arial" w:cs="Arial"/>
              </w:rPr>
              <w:t>eg</w:t>
            </w:r>
            <w:proofErr w:type="spellEnd"/>
            <w:r w:rsidRPr="00E800E8">
              <w:rPr>
                <w:rFonts w:ascii="Arial" w:hAnsi="Arial" w:cs="Arial"/>
              </w:rPr>
              <w:t xml:space="preserve"> if under par, continue to go further under par)</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Work ethic</w:t>
            </w:r>
          </w:p>
          <w:p w:rsidR="008C70B2" w:rsidRPr="00E800E8" w:rsidRDefault="008C70B2" w:rsidP="006A5077">
            <w:pPr>
              <w:spacing w:beforeLines="60" w:before="144" w:afterLines="60" w:after="144"/>
              <w:rPr>
                <w:rFonts w:ascii="Arial" w:hAnsi="Arial" w:cs="Arial"/>
              </w:rPr>
            </w:pPr>
            <w:r w:rsidRPr="00E800E8">
              <w:rPr>
                <w:rFonts w:ascii="Arial" w:hAnsi="Arial" w:cs="Arial"/>
              </w:rPr>
              <w:t>A player’s work ethic and discipline, on and off the course, reflects the attitude that they will do whatever it takes to reach their full potential.</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Coach</w:t>
            </w:r>
            <w:r>
              <w:rPr>
                <w:rFonts w:ascii="Arial" w:hAnsi="Arial" w:cs="Arial"/>
                <w:b/>
              </w:rPr>
              <w:t>-</w:t>
            </w:r>
            <w:r w:rsidRPr="00E800E8">
              <w:rPr>
                <w:rFonts w:ascii="Arial" w:hAnsi="Arial" w:cs="Arial"/>
                <w:b/>
              </w:rPr>
              <w:t xml:space="preserve">ability </w:t>
            </w:r>
            <w:r>
              <w:rPr>
                <w:rFonts w:ascii="Arial" w:hAnsi="Arial" w:cs="Arial"/>
                <w:b/>
              </w:rPr>
              <w:t>&amp;</w:t>
            </w:r>
            <w:r w:rsidRPr="00E800E8">
              <w:rPr>
                <w:rFonts w:ascii="Arial" w:hAnsi="Arial" w:cs="Arial"/>
                <w:b/>
              </w:rPr>
              <w:t xml:space="preserve"> ability to learn</w:t>
            </w:r>
          </w:p>
          <w:p w:rsidR="008C70B2" w:rsidRPr="00E800E8" w:rsidRDefault="008C70B2" w:rsidP="006A5077">
            <w:pPr>
              <w:spacing w:beforeLines="60" w:before="144" w:afterLines="60" w:after="144"/>
              <w:rPr>
                <w:rFonts w:ascii="Arial" w:hAnsi="Arial" w:cs="Arial"/>
              </w:rPr>
            </w:pPr>
            <w:r w:rsidRPr="00E800E8">
              <w:rPr>
                <w:rFonts w:ascii="Arial" w:hAnsi="Arial" w:cs="Arial"/>
              </w:rPr>
              <w:t>A coachable player will show willingness to learn, be open to and take advice, learn from success and failures, and progress quickly.</w:t>
            </w:r>
          </w:p>
          <w:p w:rsidR="008C70B2" w:rsidRDefault="008C70B2" w:rsidP="006A5077">
            <w:pPr>
              <w:spacing w:beforeLines="60" w:before="144" w:afterLines="60" w:after="144"/>
              <w:rPr>
                <w:rFonts w:ascii="Arial" w:hAnsi="Arial" w:cs="Arial"/>
                <w:b/>
              </w:rPr>
            </w:pPr>
          </w:p>
          <w:p w:rsidR="008C70B2" w:rsidRPr="00E800E8" w:rsidRDefault="008C70B2" w:rsidP="006A5077">
            <w:pPr>
              <w:spacing w:beforeLines="60" w:before="144" w:afterLines="60" w:after="144"/>
              <w:rPr>
                <w:rFonts w:ascii="Arial" w:hAnsi="Arial" w:cs="Arial"/>
              </w:rPr>
            </w:pP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lastRenderedPageBreak/>
              <w:t>Character/Behavioural Dimension</w:t>
            </w:r>
            <w:r>
              <w:rPr>
                <w:rFonts w:ascii="Arial" w:hAnsi="Arial" w:cs="Arial"/>
                <w:b/>
              </w:rPr>
              <w:t xml:space="preserve"> continued</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b/>
              </w:rPr>
            </w:pPr>
            <w:r w:rsidRPr="00E800E8">
              <w:rPr>
                <w:rFonts w:ascii="Arial" w:hAnsi="Arial" w:cs="Arial"/>
                <w:b/>
              </w:rPr>
              <w:t>Team player</w:t>
            </w:r>
          </w:p>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Entering the development programme is joining and contributing to a team.  Selection for a Wellington representative team requires a commitment and enthusiasm to contribute to team results, taking on board the positive team values that Wellington Golf is expecting, and assisting others to be successful.  Within </w:t>
            </w:r>
            <w:r w:rsidR="00EC6433">
              <w:rPr>
                <w:rFonts w:ascii="Arial" w:hAnsi="Arial" w:cs="Arial"/>
              </w:rPr>
              <w:t>both</w:t>
            </w:r>
            <w:r w:rsidRPr="00E800E8">
              <w:rPr>
                <w:rFonts w:ascii="Arial" w:hAnsi="Arial" w:cs="Arial"/>
              </w:rPr>
              <w:t xml:space="preserve"> </w:t>
            </w:r>
            <w:r w:rsidR="00EC6433">
              <w:rPr>
                <w:rFonts w:ascii="Arial" w:hAnsi="Arial" w:cs="Arial"/>
              </w:rPr>
              <w:t>TDP</w:t>
            </w:r>
            <w:r w:rsidRPr="00E800E8">
              <w:rPr>
                <w:rFonts w:ascii="Arial" w:hAnsi="Arial" w:cs="Arial"/>
              </w:rPr>
              <w:t xml:space="preserve"> groups, enjoying the team effort to learn and progress as a golfer is very important, and this will include helping others to succeed</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Quality training habits</w:t>
            </w:r>
          </w:p>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A player will demonstrate that they plan practice sessions and are able to mentally and physically prepare themselves to be ready to practice and complete their plan. </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Support network</w:t>
            </w:r>
          </w:p>
          <w:p w:rsidR="008C70B2" w:rsidRPr="00E800E8" w:rsidRDefault="008C70B2" w:rsidP="006A5077">
            <w:pPr>
              <w:spacing w:beforeLines="60" w:before="144" w:afterLines="60" w:after="144"/>
              <w:rPr>
                <w:rFonts w:ascii="Arial" w:hAnsi="Arial" w:cs="Arial"/>
              </w:rPr>
            </w:pPr>
            <w:r w:rsidRPr="00E800E8">
              <w:rPr>
                <w:rFonts w:ascii="Arial" w:hAnsi="Arial" w:cs="Arial"/>
              </w:rPr>
              <w:t>A player will have a support network of people who provide reliable support such as parents, guardians, wider family members,</w:t>
            </w:r>
            <w:r>
              <w:rPr>
                <w:rFonts w:ascii="Arial" w:hAnsi="Arial" w:cs="Arial"/>
              </w:rPr>
              <w:t xml:space="preserve"> club members</w:t>
            </w:r>
            <w:r w:rsidRPr="00E800E8">
              <w:rPr>
                <w:rFonts w:ascii="Arial" w:hAnsi="Arial" w:cs="Arial"/>
              </w:rPr>
              <w:t xml:space="preserve"> </w:t>
            </w:r>
            <w:r>
              <w:rPr>
                <w:rFonts w:ascii="Arial" w:hAnsi="Arial" w:cs="Arial"/>
              </w:rPr>
              <w:t xml:space="preserve">and </w:t>
            </w:r>
            <w:r w:rsidRPr="00E800E8">
              <w:rPr>
                <w:rFonts w:ascii="Arial" w:hAnsi="Arial" w:cs="Arial"/>
              </w:rPr>
              <w:t>friends.</w:t>
            </w:r>
          </w:p>
          <w:p w:rsidR="008C70B2" w:rsidRPr="00E800E8" w:rsidRDefault="008C70B2" w:rsidP="006A5077">
            <w:pPr>
              <w:spacing w:beforeLines="60" w:before="144" w:afterLines="60" w:after="144"/>
              <w:rPr>
                <w:rFonts w:ascii="Arial" w:hAnsi="Arial" w:cs="Arial"/>
                <w:b/>
              </w:rPr>
            </w:pPr>
            <w:r w:rsidRPr="00E800E8">
              <w:rPr>
                <w:rFonts w:ascii="Arial" w:hAnsi="Arial" w:cs="Arial"/>
                <w:b/>
              </w:rPr>
              <w:t>Life balance</w:t>
            </w:r>
          </w:p>
          <w:p w:rsidR="008C70B2" w:rsidRPr="00E800E8" w:rsidRDefault="008C70B2" w:rsidP="006A5077">
            <w:pPr>
              <w:spacing w:beforeLines="60" w:before="144" w:afterLines="60" w:after="144"/>
              <w:rPr>
                <w:rFonts w:ascii="Arial" w:hAnsi="Arial" w:cs="Arial"/>
              </w:rPr>
            </w:pPr>
            <w:r w:rsidRPr="00E800E8">
              <w:rPr>
                <w:rFonts w:ascii="Arial" w:hAnsi="Arial" w:cs="Arial"/>
              </w:rPr>
              <w:t>A player will have interests outside of golf, and know what to do to switch off from golf and relax.</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Organisational</w:t>
            </w:r>
          </w:p>
        </w:tc>
      </w:tr>
      <w:tr w:rsidR="008C70B2" w:rsidRPr="00E800E8" w:rsidTr="006A5077">
        <w:tc>
          <w:tcPr>
            <w:tcW w:w="973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The player will have a strong coaching team whose player development approach aligns well with that of the Wellington Golf </w:t>
            </w:r>
            <w:r w:rsidR="00EC6433">
              <w:rPr>
                <w:rFonts w:ascii="Arial" w:hAnsi="Arial" w:cs="Arial"/>
              </w:rPr>
              <w:t>TDP</w:t>
            </w:r>
            <w:r w:rsidRPr="00E800E8">
              <w:rPr>
                <w:rFonts w:ascii="Arial" w:hAnsi="Arial" w:cs="Arial"/>
              </w:rPr>
              <w:t xml:space="preserve"> model.  Wellington Golf is setting a standard for </w:t>
            </w:r>
            <w:r>
              <w:rPr>
                <w:rFonts w:ascii="Arial" w:hAnsi="Arial" w:cs="Arial"/>
              </w:rPr>
              <w:t xml:space="preserve">the </w:t>
            </w:r>
            <w:r w:rsidR="00EC6433">
              <w:rPr>
                <w:rFonts w:ascii="Arial" w:hAnsi="Arial" w:cs="Arial"/>
              </w:rPr>
              <w:t>TDP</w:t>
            </w:r>
            <w:r>
              <w:rPr>
                <w:rFonts w:ascii="Arial" w:hAnsi="Arial" w:cs="Arial"/>
              </w:rPr>
              <w:t xml:space="preserve"> Support Group </w:t>
            </w:r>
            <w:r w:rsidRPr="00E800E8">
              <w:rPr>
                <w:rFonts w:ascii="Arial" w:hAnsi="Arial" w:cs="Arial"/>
              </w:rPr>
              <w:t>to work closely with each player’s coaching development support group to ensure alignment and integration of programmes.  The coaching and player support development support group would include</w:t>
            </w:r>
            <w:r w:rsidR="002C1477">
              <w:rPr>
                <w:rFonts w:ascii="Arial" w:hAnsi="Arial" w:cs="Arial"/>
              </w:rPr>
              <w:t>, but is not limited to</w:t>
            </w:r>
            <w:r w:rsidRPr="00E800E8">
              <w:rPr>
                <w:rFonts w:ascii="Arial" w:hAnsi="Arial" w:cs="Arial"/>
              </w:rPr>
              <w:t>:</w:t>
            </w:r>
          </w:p>
          <w:p w:rsidR="008C70B2" w:rsidRDefault="008C70B2" w:rsidP="008C70B2">
            <w:pPr>
              <w:pStyle w:val="ListParagraph"/>
              <w:numPr>
                <w:ilvl w:val="0"/>
                <w:numId w:val="5"/>
              </w:numPr>
              <w:spacing w:beforeLines="60" w:before="144" w:afterLines="60" w:after="144"/>
              <w:rPr>
                <w:rFonts w:ascii="Arial" w:hAnsi="Arial" w:cs="Arial"/>
              </w:rPr>
            </w:pPr>
            <w:r>
              <w:rPr>
                <w:rFonts w:ascii="Arial" w:hAnsi="Arial" w:cs="Arial"/>
              </w:rPr>
              <w:t>Parent/Caregiver</w:t>
            </w:r>
          </w:p>
          <w:p w:rsidR="008C70B2" w:rsidRPr="00E800E8" w:rsidRDefault="008C70B2" w:rsidP="008C70B2">
            <w:pPr>
              <w:pStyle w:val="ListParagraph"/>
              <w:numPr>
                <w:ilvl w:val="0"/>
                <w:numId w:val="5"/>
              </w:numPr>
              <w:spacing w:beforeLines="60" w:before="144" w:afterLines="60" w:after="144"/>
              <w:rPr>
                <w:rFonts w:ascii="Arial" w:hAnsi="Arial" w:cs="Arial"/>
              </w:rPr>
            </w:pPr>
            <w:r w:rsidRPr="00E800E8">
              <w:rPr>
                <w:rFonts w:ascii="Arial" w:hAnsi="Arial" w:cs="Arial"/>
              </w:rPr>
              <w:t>Primary (home) coach</w:t>
            </w:r>
          </w:p>
          <w:p w:rsidR="008C70B2" w:rsidRPr="00E800E8" w:rsidRDefault="008C70B2" w:rsidP="008C70B2">
            <w:pPr>
              <w:pStyle w:val="ListParagraph"/>
              <w:numPr>
                <w:ilvl w:val="0"/>
                <w:numId w:val="5"/>
              </w:numPr>
              <w:spacing w:beforeLines="60" w:before="144" w:afterLines="60" w:after="144"/>
              <w:rPr>
                <w:rFonts w:ascii="Arial" w:hAnsi="Arial" w:cs="Arial"/>
              </w:rPr>
            </w:pPr>
            <w:r w:rsidRPr="00E800E8">
              <w:rPr>
                <w:rFonts w:ascii="Arial" w:hAnsi="Arial" w:cs="Arial"/>
              </w:rPr>
              <w:t>Sport Psychology/mind skills coach</w:t>
            </w:r>
          </w:p>
          <w:p w:rsidR="008C70B2" w:rsidRPr="00E800E8" w:rsidRDefault="008C70B2" w:rsidP="008C70B2">
            <w:pPr>
              <w:pStyle w:val="ListParagraph"/>
              <w:numPr>
                <w:ilvl w:val="0"/>
                <w:numId w:val="5"/>
              </w:numPr>
              <w:spacing w:beforeLines="60" w:before="144" w:afterLines="60" w:after="144"/>
              <w:rPr>
                <w:rFonts w:ascii="Arial" w:hAnsi="Arial" w:cs="Arial"/>
              </w:rPr>
            </w:pPr>
            <w:r w:rsidRPr="00E800E8">
              <w:rPr>
                <w:rFonts w:ascii="Arial" w:hAnsi="Arial" w:cs="Arial"/>
              </w:rPr>
              <w:t>Physiotherapist</w:t>
            </w:r>
          </w:p>
          <w:p w:rsidR="008C70B2" w:rsidRPr="00E800E8" w:rsidRDefault="008C70B2" w:rsidP="008C70B2">
            <w:pPr>
              <w:pStyle w:val="ListParagraph"/>
              <w:numPr>
                <w:ilvl w:val="0"/>
                <w:numId w:val="5"/>
              </w:numPr>
              <w:spacing w:beforeLines="60" w:before="144" w:afterLines="60" w:after="144"/>
              <w:rPr>
                <w:rFonts w:ascii="Arial" w:hAnsi="Arial" w:cs="Arial"/>
              </w:rPr>
            </w:pPr>
            <w:r w:rsidRPr="00E800E8">
              <w:rPr>
                <w:rFonts w:ascii="Arial" w:hAnsi="Arial" w:cs="Arial"/>
              </w:rPr>
              <w:t>Strength and conditioning coach</w:t>
            </w:r>
          </w:p>
        </w:tc>
      </w:tr>
      <w:tr w:rsidR="008C70B2" w:rsidRPr="00E800E8" w:rsidTr="006A5077">
        <w:tc>
          <w:tcPr>
            <w:tcW w:w="973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rPr>
              <w:br w:type="page"/>
            </w:r>
            <w:r w:rsidRPr="00E800E8">
              <w:rPr>
                <w:rFonts w:ascii="Arial" w:hAnsi="Arial" w:cs="Arial"/>
                <w:b/>
              </w:rPr>
              <w:t xml:space="preserve">A Tiered Development Programme </w:t>
            </w:r>
          </w:p>
        </w:tc>
      </w:tr>
      <w:tr w:rsidR="008C70B2" w:rsidRPr="00E800E8" w:rsidTr="006A5077">
        <w:tc>
          <w:tcPr>
            <w:tcW w:w="973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Those players selected for the </w:t>
            </w:r>
            <w:r w:rsidR="00EC6433">
              <w:rPr>
                <w:rFonts w:ascii="Arial" w:hAnsi="Arial" w:cs="Arial"/>
              </w:rPr>
              <w:t>TDP</w:t>
            </w:r>
            <w:r w:rsidRPr="00E800E8">
              <w:rPr>
                <w:rFonts w:ascii="Arial" w:hAnsi="Arial" w:cs="Arial"/>
              </w:rPr>
              <w:t xml:space="preserve"> are considered to be amongst the top players in the District.  They have not necessarily come through the development programme, but are selected because they are the most likely to benefit from the structured development provided in the </w:t>
            </w:r>
            <w:r w:rsidR="00EC6433">
              <w:rPr>
                <w:rFonts w:ascii="Arial" w:hAnsi="Arial" w:cs="Arial"/>
              </w:rPr>
              <w:t>TDP</w:t>
            </w:r>
            <w:r w:rsidRPr="00E800E8">
              <w:rPr>
                <w:rFonts w:ascii="Arial" w:hAnsi="Arial" w:cs="Arial"/>
              </w:rPr>
              <w:t xml:space="preserve"> and reach the level where they will be selected by New Zealand Golf into their National Development Programme, and ultimately represent New Zealand.</w:t>
            </w:r>
          </w:p>
        </w:tc>
      </w:tr>
    </w:tbl>
    <w:p w:rsidR="008C70B2" w:rsidRDefault="008C70B2" w:rsidP="008C70B2">
      <w:pPr>
        <w:spacing w:beforeLines="60" w:before="144" w:afterLines="60" w:after="144" w:line="240" w:lineRule="auto"/>
        <w:rPr>
          <w:rFonts w:ascii="Arial" w:hAnsi="Arial" w:cs="Arial"/>
          <w:b/>
          <w:sz w:val="24"/>
          <w:szCs w:val="24"/>
        </w:rPr>
      </w:pPr>
    </w:p>
    <w:p w:rsidR="008C70B2" w:rsidRDefault="008C70B2" w:rsidP="008C70B2">
      <w:pPr>
        <w:rPr>
          <w:rFonts w:ascii="Arial" w:hAnsi="Arial" w:cs="Arial"/>
          <w:b/>
          <w:sz w:val="24"/>
          <w:szCs w:val="24"/>
        </w:rPr>
      </w:pPr>
      <w:r>
        <w:rPr>
          <w:rFonts w:ascii="Arial" w:hAnsi="Arial" w:cs="Arial"/>
          <w:b/>
          <w:sz w:val="24"/>
          <w:szCs w:val="24"/>
        </w:rPr>
        <w:br w:type="page"/>
      </w:r>
    </w:p>
    <w:p w:rsidR="008C70B2" w:rsidRPr="00E800E8" w:rsidRDefault="008C70B2" w:rsidP="008C70B2">
      <w:pPr>
        <w:spacing w:beforeLines="60" w:before="144" w:afterLines="60" w:after="144" w:line="240" w:lineRule="auto"/>
        <w:rPr>
          <w:rFonts w:ascii="Arial" w:hAnsi="Arial" w:cs="Arial"/>
          <w:b/>
          <w:sz w:val="24"/>
          <w:szCs w:val="24"/>
        </w:rPr>
      </w:pPr>
      <w:r w:rsidRPr="00E800E8">
        <w:rPr>
          <w:rFonts w:ascii="Arial" w:hAnsi="Arial" w:cs="Arial"/>
          <w:b/>
          <w:sz w:val="24"/>
          <w:szCs w:val="24"/>
        </w:rPr>
        <w:lastRenderedPageBreak/>
        <w:t>Selection Procedures explained:</w:t>
      </w:r>
    </w:p>
    <w:tbl>
      <w:tblPr>
        <w:tblStyle w:val="TableGrid"/>
        <w:tblW w:w="0" w:type="auto"/>
        <w:tblLook w:val="04A0" w:firstRow="1" w:lastRow="0" w:firstColumn="1" w:lastColumn="0" w:noHBand="0" w:noVBand="1"/>
      </w:tblPr>
      <w:tblGrid>
        <w:gridCol w:w="9739"/>
      </w:tblGrid>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 xml:space="preserve">Selection Procedures for Junior Golf </w:t>
            </w:r>
            <w:r w:rsidR="00EC6433">
              <w:rPr>
                <w:rFonts w:ascii="Arial" w:hAnsi="Arial" w:cs="Arial"/>
                <w:b/>
              </w:rPr>
              <w:t>TDP</w:t>
            </w:r>
            <w:r w:rsidRPr="00E800E8">
              <w:rPr>
                <w:rFonts w:ascii="Arial" w:hAnsi="Arial" w:cs="Arial"/>
                <w:b/>
              </w:rPr>
              <w:t xml:space="preserve"> and Representative</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F</w:t>
            </w:r>
            <w:r>
              <w:rPr>
                <w:rFonts w:ascii="Arial" w:hAnsi="Arial" w:cs="Arial"/>
              </w:rPr>
              <w:t>ollowing on f</w:t>
            </w:r>
            <w:r w:rsidRPr="00E800E8">
              <w:rPr>
                <w:rFonts w:ascii="Arial" w:hAnsi="Arial" w:cs="Arial"/>
              </w:rPr>
              <w:t xml:space="preserve">rom </w:t>
            </w:r>
            <w:r w:rsidR="006500D6">
              <w:rPr>
                <w:rFonts w:ascii="Arial" w:hAnsi="Arial" w:cs="Arial"/>
              </w:rPr>
              <w:t>previous years</w:t>
            </w:r>
            <w:r w:rsidRPr="00E800E8">
              <w:rPr>
                <w:rFonts w:ascii="Arial" w:hAnsi="Arial" w:cs="Arial"/>
              </w:rPr>
              <w:t xml:space="preserve">, Wellington Golf </w:t>
            </w:r>
            <w:r>
              <w:rPr>
                <w:rFonts w:ascii="Arial" w:hAnsi="Arial" w:cs="Arial"/>
              </w:rPr>
              <w:t>has integrated</w:t>
            </w:r>
            <w:r w:rsidRPr="00E800E8">
              <w:rPr>
                <w:rFonts w:ascii="Arial" w:hAnsi="Arial" w:cs="Arial"/>
              </w:rPr>
              <w:t xml:space="preserve"> the management of its Representative and </w:t>
            </w:r>
            <w:r w:rsidR="00EC6433">
              <w:rPr>
                <w:rFonts w:ascii="Arial" w:hAnsi="Arial" w:cs="Arial"/>
              </w:rPr>
              <w:t>TDP</w:t>
            </w:r>
            <w:r w:rsidRPr="00E800E8">
              <w:rPr>
                <w:rFonts w:ascii="Arial" w:hAnsi="Arial" w:cs="Arial"/>
              </w:rPr>
              <w:t xml:space="preserve"> selection processes to ensure structured succession planning for its representative teams, and for a consistent approach with the selection and support of players.</w:t>
            </w:r>
          </w:p>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Members of the selection panel </w:t>
            </w:r>
            <w:r>
              <w:rPr>
                <w:rFonts w:ascii="Arial" w:hAnsi="Arial" w:cs="Arial"/>
              </w:rPr>
              <w:t xml:space="preserve">and </w:t>
            </w:r>
            <w:r w:rsidR="00EC6433">
              <w:rPr>
                <w:rFonts w:ascii="Arial" w:hAnsi="Arial" w:cs="Arial"/>
              </w:rPr>
              <w:t>TDP</w:t>
            </w:r>
            <w:r>
              <w:rPr>
                <w:rFonts w:ascii="Arial" w:hAnsi="Arial" w:cs="Arial"/>
              </w:rPr>
              <w:t xml:space="preserve"> coaches </w:t>
            </w:r>
            <w:r w:rsidRPr="00E800E8">
              <w:rPr>
                <w:rFonts w:ascii="Arial" w:hAnsi="Arial" w:cs="Arial"/>
              </w:rPr>
              <w:t>will attend various district and representative</w:t>
            </w:r>
            <w:r>
              <w:rPr>
                <w:rFonts w:ascii="Arial" w:hAnsi="Arial" w:cs="Arial"/>
              </w:rPr>
              <w:t xml:space="preserve"> events during the year, and </w:t>
            </w:r>
            <w:r w:rsidR="0049097C">
              <w:rPr>
                <w:rFonts w:ascii="Arial" w:hAnsi="Arial" w:cs="Arial"/>
              </w:rPr>
              <w:t>they monitor</w:t>
            </w:r>
            <w:r w:rsidRPr="00E800E8">
              <w:rPr>
                <w:rFonts w:ascii="Arial" w:hAnsi="Arial" w:cs="Arial"/>
              </w:rPr>
              <w:t xml:space="preserve"> the performance of a wider group of players for Wellington representation</w:t>
            </w:r>
            <w:r w:rsidR="00637A8A">
              <w:rPr>
                <w:rFonts w:ascii="Arial" w:hAnsi="Arial" w:cs="Arial"/>
              </w:rPr>
              <w:t>. T</w:t>
            </w:r>
            <w:r w:rsidRPr="00E800E8">
              <w:rPr>
                <w:rFonts w:ascii="Arial" w:hAnsi="Arial" w:cs="Arial"/>
              </w:rPr>
              <w:t xml:space="preserve">heir input into the selection for, and programmes of the Development and </w:t>
            </w:r>
            <w:r w:rsidR="00637A8A">
              <w:rPr>
                <w:rFonts w:ascii="Arial" w:hAnsi="Arial" w:cs="Arial"/>
              </w:rPr>
              <w:t>Performance</w:t>
            </w:r>
            <w:r w:rsidRPr="00E800E8">
              <w:rPr>
                <w:rFonts w:ascii="Arial" w:hAnsi="Arial" w:cs="Arial"/>
              </w:rPr>
              <w:t xml:space="preserve"> groups </w:t>
            </w:r>
            <w:r w:rsidR="00637A8A">
              <w:rPr>
                <w:rFonts w:ascii="Arial" w:hAnsi="Arial" w:cs="Arial"/>
              </w:rPr>
              <w:t>is</w:t>
            </w:r>
            <w:r w:rsidRPr="00E800E8">
              <w:rPr>
                <w:rFonts w:ascii="Arial" w:hAnsi="Arial" w:cs="Arial"/>
              </w:rPr>
              <w:t xml:space="preserve"> a crucial factor in Wellington’s golfing success.</w:t>
            </w:r>
          </w:p>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Following the </w:t>
            </w:r>
            <w:proofErr w:type="spellStart"/>
            <w:r w:rsidR="006500D6">
              <w:rPr>
                <w:rFonts w:ascii="Arial" w:hAnsi="Arial" w:cs="Arial"/>
              </w:rPr>
              <w:t>Wairarapa</w:t>
            </w:r>
            <w:proofErr w:type="spellEnd"/>
            <w:r w:rsidR="006500D6">
              <w:rPr>
                <w:rFonts w:ascii="Arial" w:hAnsi="Arial" w:cs="Arial"/>
              </w:rPr>
              <w:t xml:space="preserve"> 54 hole </w:t>
            </w:r>
            <w:proofErr w:type="spellStart"/>
            <w:r w:rsidR="006500D6">
              <w:rPr>
                <w:rFonts w:ascii="Arial" w:hAnsi="Arial" w:cs="Arial"/>
              </w:rPr>
              <w:t>Strokeplay</w:t>
            </w:r>
            <w:proofErr w:type="spellEnd"/>
            <w:r>
              <w:rPr>
                <w:rFonts w:ascii="Arial" w:hAnsi="Arial" w:cs="Arial"/>
              </w:rPr>
              <w:t>,</w:t>
            </w:r>
            <w:r w:rsidRPr="00E800E8">
              <w:rPr>
                <w:rFonts w:ascii="Arial" w:hAnsi="Arial" w:cs="Arial"/>
              </w:rPr>
              <w:t xml:space="preserve"> the </w:t>
            </w:r>
            <w:r w:rsidR="00EC6433">
              <w:rPr>
                <w:rFonts w:ascii="Arial" w:hAnsi="Arial" w:cs="Arial"/>
              </w:rPr>
              <w:t>TDP</w:t>
            </w:r>
            <w:r>
              <w:rPr>
                <w:rFonts w:ascii="Arial" w:hAnsi="Arial" w:cs="Arial"/>
              </w:rPr>
              <w:t xml:space="preserve"> Coaches </w:t>
            </w:r>
            <w:r w:rsidR="00744817">
              <w:rPr>
                <w:rFonts w:ascii="Arial" w:hAnsi="Arial" w:cs="Arial"/>
              </w:rPr>
              <w:t>and the S</w:t>
            </w:r>
            <w:r w:rsidR="00637A8A">
              <w:rPr>
                <w:rFonts w:ascii="Arial" w:hAnsi="Arial" w:cs="Arial"/>
              </w:rPr>
              <w:t>electio</w:t>
            </w:r>
            <w:r w:rsidR="00744817">
              <w:rPr>
                <w:rFonts w:ascii="Arial" w:hAnsi="Arial" w:cs="Arial"/>
              </w:rPr>
              <w:t>n P</w:t>
            </w:r>
            <w:r w:rsidR="00637A8A">
              <w:rPr>
                <w:rFonts w:ascii="Arial" w:hAnsi="Arial" w:cs="Arial"/>
              </w:rPr>
              <w:t xml:space="preserve">anel </w:t>
            </w:r>
            <w:r w:rsidRPr="00E800E8">
              <w:rPr>
                <w:rFonts w:ascii="Arial" w:hAnsi="Arial" w:cs="Arial"/>
              </w:rPr>
              <w:t xml:space="preserve">will put forward their nominations for the </w:t>
            </w:r>
            <w:r>
              <w:rPr>
                <w:rFonts w:ascii="Arial" w:hAnsi="Arial" w:cs="Arial"/>
              </w:rPr>
              <w:t>Performance</w:t>
            </w:r>
            <w:r w:rsidRPr="00E800E8">
              <w:rPr>
                <w:rFonts w:ascii="Arial" w:hAnsi="Arial" w:cs="Arial"/>
              </w:rPr>
              <w:t xml:space="preserve"> </w:t>
            </w:r>
            <w:r>
              <w:rPr>
                <w:rFonts w:ascii="Arial" w:hAnsi="Arial" w:cs="Arial"/>
              </w:rPr>
              <w:t>&amp;</w:t>
            </w:r>
            <w:r w:rsidRPr="00E800E8">
              <w:rPr>
                <w:rFonts w:ascii="Arial" w:hAnsi="Arial" w:cs="Arial"/>
              </w:rPr>
              <w:t xml:space="preserve"> Development </w:t>
            </w:r>
            <w:r>
              <w:rPr>
                <w:rFonts w:ascii="Arial" w:hAnsi="Arial" w:cs="Arial"/>
              </w:rPr>
              <w:t xml:space="preserve">levels </w:t>
            </w:r>
            <w:r w:rsidRPr="00E800E8">
              <w:rPr>
                <w:rFonts w:ascii="Arial" w:hAnsi="Arial" w:cs="Arial"/>
              </w:rPr>
              <w:t xml:space="preserve">to the </w:t>
            </w:r>
            <w:r w:rsidR="00EC6433">
              <w:rPr>
                <w:rFonts w:ascii="Arial" w:hAnsi="Arial" w:cs="Arial"/>
              </w:rPr>
              <w:t>TDP</w:t>
            </w:r>
            <w:r w:rsidR="00744817">
              <w:rPr>
                <w:rFonts w:ascii="Arial" w:hAnsi="Arial" w:cs="Arial"/>
              </w:rPr>
              <w:t xml:space="preserve"> Team</w:t>
            </w:r>
            <w:r w:rsidR="00637A8A">
              <w:rPr>
                <w:rFonts w:ascii="Arial" w:hAnsi="Arial" w:cs="Arial"/>
              </w:rPr>
              <w:t xml:space="preserve"> </w:t>
            </w:r>
            <w:r w:rsidR="006500D6">
              <w:rPr>
                <w:rFonts w:ascii="Arial" w:hAnsi="Arial" w:cs="Arial"/>
              </w:rPr>
              <w:t xml:space="preserve">and WGI Operations </w:t>
            </w:r>
            <w:r w:rsidR="00637A8A">
              <w:rPr>
                <w:rFonts w:ascii="Arial" w:hAnsi="Arial" w:cs="Arial"/>
              </w:rPr>
              <w:t>Manager</w:t>
            </w:r>
            <w:r w:rsidR="006500D6">
              <w:rPr>
                <w:rFonts w:ascii="Arial" w:hAnsi="Arial" w:cs="Arial"/>
              </w:rPr>
              <w:t>s</w:t>
            </w:r>
            <w:r w:rsidRPr="00E800E8">
              <w:rPr>
                <w:rFonts w:ascii="Arial" w:hAnsi="Arial" w:cs="Arial"/>
              </w:rPr>
              <w:t xml:space="preserve">.    </w:t>
            </w:r>
          </w:p>
          <w:p w:rsidR="008C70B2" w:rsidRDefault="008C70B2" w:rsidP="006A5077">
            <w:pPr>
              <w:spacing w:beforeLines="60" w:before="144" w:afterLines="60" w:after="144"/>
              <w:rPr>
                <w:rFonts w:ascii="Arial" w:hAnsi="Arial" w:cs="Arial"/>
              </w:rPr>
            </w:pPr>
            <w:r w:rsidRPr="00E800E8">
              <w:rPr>
                <w:rFonts w:ascii="Arial" w:hAnsi="Arial" w:cs="Arial"/>
              </w:rPr>
              <w:t xml:space="preserve">These nominations will be reviewed </w:t>
            </w:r>
            <w:r>
              <w:rPr>
                <w:rFonts w:ascii="Arial" w:hAnsi="Arial" w:cs="Arial"/>
              </w:rPr>
              <w:t xml:space="preserve">and ratified by the </w:t>
            </w:r>
            <w:r w:rsidR="00637A8A">
              <w:rPr>
                <w:rFonts w:ascii="Arial" w:hAnsi="Arial" w:cs="Arial"/>
              </w:rPr>
              <w:t xml:space="preserve">WGI Board. </w:t>
            </w:r>
          </w:p>
          <w:p w:rsidR="008C70B2" w:rsidRPr="00E800E8" w:rsidRDefault="008C70B2" w:rsidP="006A5077">
            <w:pPr>
              <w:spacing w:beforeLines="60" w:before="144" w:afterLines="60" w:after="144"/>
              <w:rPr>
                <w:rFonts w:ascii="Arial" w:hAnsi="Arial" w:cs="Arial"/>
              </w:rPr>
            </w:pPr>
            <w:r>
              <w:rPr>
                <w:rFonts w:ascii="Arial" w:hAnsi="Arial" w:cs="Arial"/>
              </w:rPr>
              <w:t xml:space="preserve">The WGI </w:t>
            </w:r>
            <w:r w:rsidR="00EC6433">
              <w:rPr>
                <w:rFonts w:ascii="Arial" w:hAnsi="Arial" w:cs="Arial"/>
              </w:rPr>
              <w:t>TDP</w:t>
            </w:r>
            <w:r>
              <w:rPr>
                <w:rFonts w:ascii="Arial" w:hAnsi="Arial" w:cs="Arial"/>
              </w:rPr>
              <w:t xml:space="preserve"> coaches and the selection panel members are noted on the Representative page of the WGI website.  </w:t>
            </w:r>
            <w:hyperlink r:id="rId12" w:history="1">
              <w:r w:rsidRPr="008402E9">
                <w:rPr>
                  <w:rStyle w:val="Hyperlink"/>
                  <w:rFonts w:ascii="Arial" w:hAnsi="Arial" w:cs="Arial"/>
                </w:rPr>
                <w:t>http://wgi.co.nz/representative/selectors</w:t>
              </w:r>
            </w:hyperlink>
            <w:r>
              <w:rPr>
                <w:rFonts w:ascii="Arial" w:hAnsi="Arial" w:cs="Arial"/>
              </w:rPr>
              <w:t xml:space="preserve"> </w:t>
            </w:r>
          </w:p>
          <w:p w:rsidR="008C70B2" w:rsidRPr="006B4DB5" w:rsidRDefault="008C70B2" w:rsidP="006A5077">
            <w:pPr>
              <w:spacing w:beforeLines="60" w:before="144" w:afterLines="60" w:after="144"/>
              <w:rPr>
                <w:rFonts w:ascii="Arial" w:hAnsi="Arial" w:cs="Arial"/>
              </w:rPr>
            </w:pPr>
            <w:r w:rsidRPr="00E800E8">
              <w:rPr>
                <w:rFonts w:ascii="Arial" w:hAnsi="Arial" w:cs="Arial"/>
              </w:rPr>
              <w:t xml:space="preserve">The new and returning </w:t>
            </w:r>
            <w:r>
              <w:rPr>
                <w:rFonts w:ascii="Arial" w:hAnsi="Arial" w:cs="Arial"/>
              </w:rPr>
              <w:t>Performance</w:t>
            </w:r>
            <w:r w:rsidRPr="00E800E8">
              <w:rPr>
                <w:rFonts w:ascii="Arial" w:hAnsi="Arial" w:cs="Arial"/>
              </w:rPr>
              <w:t xml:space="preserve"> and Development </w:t>
            </w:r>
            <w:r w:rsidR="00EC6433">
              <w:rPr>
                <w:rFonts w:ascii="Arial" w:hAnsi="Arial" w:cs="Arial"/>
              </w:rPr>
              <w:t>TDP</w:t>
            </w:r>
            <w:r w:rsidRPr="00E800E8">
              <w:rPr>
                <w:rFonts w:ascii="Arial" w:hAnsi="Arial" w:cs="Arial"/>
              </w:rPr>
              <w:t xml:space="preserve"> members for the year will be announced in </w:t>
            </w:r>
            <w:r>
              <w:rPr>
                <w:rFonts w:ascii="Arial" w:hAnsi="Arial" w:cs="Arial"/>
              </w:rPr>
              <w:t>mid-late</w:t>
            </w:r>
            <w:r w:rsidRPr="00E800E8">
              <w:rPr>
                <w:rFonts w:ascii="Arial" w:hAnsi="Arial" w:cs="Arial"/>
              </w:rPr>
              <w:t xml:space="preserve"> April allowing preparation time before the first </w:t>
            </w:r>
            <w:r w:rsidR="00EC6433">
              <w:rPr>
                <w:rFonts w:ascii="Arial" w:hAnsi="Arial" w:cs="Arial"/>
              </w:rPr>
              <w:t>TDP</w:t>
            </w:r>
            <w:r w:rsidRPr="00E800E8">
              <w:rPr>
                <w:rFonts w:ascii="Arial" w:hAnsi="Arial" w:cs="Arial"/>
              </w:rPr>
              <w:t xml:space="preserve"> programme day, and/or first representative fixture.</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Conditions of Selection</w:t>
            </w:r>
          </w:p>
        </w:tc>
      </w:tr>
      <w:tr w:rsidR="008C70B2" w:rsidRPr="00E800E8" w:rsidTr="006A5077">
        <w:tc>
          <w:tcPr>
            <w:tcW w:w="10459" w:type="dxa"/>
          </w:tcPr>
          <w:p w:rsidR="008C70B2" w:rsidRPr="00E800E8" w:rsidRDefault="008C70B2" w:rsidP="00744817">
            <w:pPr>
              <w:spacing w:beforeLines="60" w:before="144" w:afterLines="60" w:after="144"/>
              <w:rPr>
                <w:rFonts w:ascii="Arial" w:hAnsi="Arial" w:cs="Arial"/>
              </w:rPr>
            </w:pPr>
            <w:r w:rsidRPr="00E800E8">
              <w:rPr>
                <w:rFonts w:ascii="Arial" w:hAnsi="Arial" w:cs="Arial"/>
              </w:rPr>
              <w:t xml:space="preserve">Those players selected for the </w:t>
            </w:r>
            <w:r>
              <w:rPr>
                <w:rFonts w:ascii="Arial" w:hAnsi="Arial" w:cs="Arial"/>
              </w:rPr>
              <w:t>Performance</w:t>
            </w:r>
            <w:r w:rsidRPr="00E800E8">
              <w:rPr>
                <w:rFonts w:ascii="Arial" w:hAnsi="Arial" w:cs="Arial"/>
              </w:rPr>
              <w:t xml:space="preserve"> and Development </w:t>
            </w:r>
            <w:r w:rsidR="00EC6433">
              <w:rPr>
                <w:rFonts w:ascii="Arial" w:hAnsi="Arial" w:cs="Arial"/>
              </w:rPr>
              <w:t>TDP</w:t>
            </w:r>
            <w:r>
              <w:rPr>
                <w:rFonts w:ascii="Arial" w:hAnsi="Arial" w:cs="Arial"/>
              </w:rPr>
              <w:t xml:space="preserve"> and U19 R</w:t>
            </w:r>
            <w:r w:rsidRPr="00E800E8">
              <w:rPr>
                <w:rFonts w:ascii="Arial" w:hAnsi="Arial" w:cs="Arial"/>
              </w:rPr>
              <w:t xml:space="preserve">epresentative teams will be </w:t>
            </w:r>
            <w:r w:rsidR="00744817">
              <w:rPr>
                <w:rFonts w:ascii="Arial" w:hAnsi="Arial" w:cs="Arial"/>
              </w:rPr>
              <w:t>bound by</w:t>
            </w:r>
            <w:r w:rsidRPr="00E800E8">
              <w:rPr>
                <w:rFonts w:ascii="Arial" w:hAnsi="Arial" w:cs="Arial"/>
              </w:rPr>
              <w:t xml:space="preserve"> the Wellington Golf </w:t>
            </w:r>
            <w:r w:rsidR="00744817">
              <w:rPr>
                <w:rFonts w:ascii="Arial" w:hAnsi="Arial" w:cs="Arial"/>
              </w:rPr>
              <w:t>Code of Conduct, which outlines their responsibilities and behaviour expectations, as are</w:t>
            </w:r>
            <w:r>
              <w:rPr>
                <w:rFonts w:ascii="Arial" w:hAnsi="Arial" w:cs="Arial"/>
              </w:rPr>
              <w:t xml:space="preserve"> all Wellington R</w:t>
            </w:r>
            <w:r w:rsidRPr="00E800E8">
              <w:rPr>
                <w:rFonts w:ascii="Arial" w:hAnsi="Arial" w:cs="Arial"/>
              </w:rPr>
              <w:t xml:space="preserve">epresentative team members. </w:t>
            </w:r>
          </w:p>
        </w:tc>
      </w:tr>
      <w:tr w:rsidR="008C70B2" w:rsidRPr="00E800E8" w:rsidTr="006A5077">
        <w:tc>
          <w:tcPr>
            <w:tcW w:w="10459" w:type="dxa"/>
            <w:shd w:val="clear" w:color="auto" w:fill="D9D9D9" w:themeFill="background1" w:themeFillShade="D9"/>
          </w:tcPr>
          <w:p w:rsidR="008C70B2" w:rsidRPr="00E800E8" w:rsidRDefault="008C70B2" w:rsidP="006A5077">
            <w:pPr>
              <w:spacing w:beforeLines="60" w:before="144" w:afterLines="60" w:after="144"/>
              <w:rPr>
                <w:rFonts w:ascii="Arial" w:hAnsi="Arial" w:cs="Arial"/>
                <w:b/>
              </w:rPr>
            </w:pPr>
            <w:r w:rsidRPr="00E800E8">
              <w:rPr>
                <w:rFonts w:ascii="Arial" w:hAnsi="Arial" w:cs="Arial"/>
                <w:b/>
              </w:rPr>
              <w:t xml:space="preserve">Removal from the </w:t>
            </w:r>
            <w:r w:rsidR="00EC6433">
              <w:rPr>
                <w:rFonts w:ascii="Arial" w:hAnsi="Arial" w:cs="Arial"/>
                <w:b/>
              </w:rPr>
              <w:t>TDP</w:t>
            </w:r>
            <w:r w:rsidRPr="00E800E8">
              <w:rPr>
                <w:rFonts w:ascii="Arial" w:hAnsi="Arial" w:cs="Arial"/>
                <w:b/>
              </w:rPr>
              <w:t xml:space="preserve"> or Development </w:t>
            </w:r>
            <w:r w:rsidR="00EC6433">
              <w:rPr>
                <w:rFonts w:ascii="Arial" w:hAnsi="Arial" w:cs="Arial"/>
                <w:b/>
              </w:rPr>
              <w:t>Group</w:t>
            </w:r>
            <w:r w:rsidRPr="00E800E8">
              <w:rPr>
                <w:rFonts w:ascii="Arial" w:hAnsi="Arial" w:cs="Arial"/>
                <w:b/>
              </w:rPr>
              <w:t>s</w:t>
            </w:r>
          </w:p>
        </w:tc>
      </w:tr>
      <w:tr w:rsidR="008C70B2" w:rsidRPr="00E800E8" w:rsidTr="006A5077">
        <w:tc>
          <w:tcPr>
            <w:tcW w:w="10459" w:type="dxa"/>
          </w:tcPr>
          <w:p w:rsidR="008C70B2" w:rsidRPr="00E800E8" w:rsidRDefault="008C70B2" w:rsidP="006A5077">
            <w:pPr>
              <w:spacing w:beforeLines="60" w:before="144" w:afterLines="60" w:after="144"/>
              <w:rPr>
                <w:rFonts w:ascii="Arial" w:hAnsi="Arial" w:cs="Arial"/>
              </w:rPr>
            </w:pPr>
            <w:r w:rsidRPr="00E800E8">
              <w:rPr>
                <w:rFonts w:ascii="Arial" w:hAnsi="Arial" w:cs="Arial"/>
              </w:rPr>
              <w:t xml:space="preserve">A player will be removed from the </w:t>
            </w:r>
            <w:r>
              <w:rPr>
                <w:rFonts w:ascii="Arial" w:hAnsi="Arial" w:cs="Arial"/>
              </w:rPr>
              <w:t>Performance</w:t>
            </w:r>
            <w:r w:rsidRPr="00E800E8">
              <w:rPr>
                <w:rFonts w:ascii="Arial" w:hAnsi="Arial" w:cs="Arial"/>
              </w:rPr>
              <w:t xml:space="preserve"> or Development </w:t>
            </w:r>
            <w:r w:rsidR="00EC6433">
              <w:rPr>
                <w:rFonts w:ascii="Arial" w:hAnsi="Arial" w:cs="Arial"/>
              </w:rPr>
              <w:t>TDP</w:t>
            </w:r>
            <w:r w:rsidRPr="00E800E8">
              <w:rPr>
                <w:rFonts w:ascii="Arial" w:hAnsi="Arial" w:cs="Arial"/>
              </w:rPr>
              <w:t xml:space="preserve"> if they:</w:t>
            </w:r>
          </w:p>
          <w:p w:rsidR="008C70B2" w:rsidRPr="00E800E8" w:rsidRDefault="008C70B2" w:rsidP="008C70B2">
            <w:pPr>
              <w:pStyle w:val="ListParagraph"/>
              <w:numPr>
                <w:ilvl w:val="0"/>
                <w:numId w:val="6"/>
              </w:numPr>
              <w:spacing w:beforeLines="60" w:before="144" w:afterLines="60" w:after="144"/>
              <w:rPr>
                <w:rFonts w:ascii="Arial" w:hAnsi="Arial" w:cs="Arial"/>
              </w:rPr>
            </w:pPr>
            <w:r w:rsidRPr="00E800E8">
              <w:rPr>
                <w:rFonts w:ascii="Arial" w:hAnsi="Arial" w:cs="Arial"/>
              </w:rPr>
              <w:t xml:space="preserve">Do not demonstrate full commitment to the </w:t>
            </w:r>
            <w:r w:rsidR="00EC6433">
              <w:rPr>
                <w:rFonts w:ascii="Arial" w:hAnsi="Arial" w:cs="Arial"/>
              </w:rPr>
              <w:t>TDP</w:t>
            </w:r>
            <w:r w:rsidRPr="00E800E8">
              <w:rPr>
                <w:rFonts w:ascii="Arial" w:hAnsi="Arial" w:cs="Arial"/>
              </w:rPr>
              <w:t xml:space="preserve"> </w:t>
            </w:r>
            <w:r>
              <w:rPr>
                <w:rFonts w:ascii="Arial" w:hAnsi="Arial" w:cs="Arial"/>
              </w:rPr>
              <w:t xml:space="preserve">or their fellow </w:t>
            </w:r>
            <w:r w:rsidR="00EC6433">
              <w:rPr>
                <w:rFonts w:ascii="Arial" w:hAnsi="Arial" w:cs="Arial"/>
              </w:rPr>
              <w:t>Group</w:t>
            </w:r>
            <w:r>
              <w:rPr>
                <w:rFonts w:ascii="Arial" w:hAnsi="Arial" w:cs="Arial"/>
              </w:rPr>
              <w:t xml:space="preserve"> members</w:t>
            </w:r>
            <w:r w:rsidRPr="00E800E8">
              <w:rPr>
                <w:rFonts w:ascii="Arial" w:hAnsi="Arial" w:cs="Arial"/>
              </w:rPr>
              <w:t xml:space="preserve"> and adhere to their development programme</w:t>
            </w:r>
          </w:p>
          <w:p w:rsidR="008C70B2" w:rsidRPr="00E800E8" w:rsidRDefault="008C70B2" w:rsidP="008C70B2">
            <w:pPr>
              <w:pStyle w:val="ListParagraph"/>
              <w:numPr>
                <w:ilvl w:val="0"/>
                <w:numId w:val="6"/>
              </w:numPr>
              <w:spacing w:beforeLines="60" w:before="144" w:afterLines="60" w:after="144"/>
              <w:rPr>
                <w:rFonts w:ascii="Arial" w:hAnsi="Arial" w:cs="Arial"/>
              </w:rPr>
            </w:pPr>
            <w:r w:rsidRPr="00E800E8">
              <w:rPr>
                <w:rFonts w:ascii="Arial" w:hAnsi="Arial" w:cs="Arial"/>
              </w:rPr>
              <w:t>Do not comply with the Wel</w:t>
            </w:r>
            <w:r w:rsidR="00744817">
              <w:rPr>
                <w:rFonts w:ascii="Arial" w:hAnsi="Arial" w:cs="Arial"/>
              </w:rPr>
              <w:t xml:space="preserve">lington Golf Code of Conduct and </w:t>
            </w:r>
            <w:r w:rsidRPr="00E800E8">
              <w:rPr>
                <w:rFonts w:ascii="Arial" w:hAnsi="Arial" w:cs="Arial"/>
              </w:rPr>
              <w:t xml:space="preserve"> Disciplinary Policy</w:t>
            </w:r>
          </w:p>
          <w:p w:rsidR="008C70B2" w:rsidRPr="00E800E8" w:rsidRDefault="008C70B2" w:rsidP="008C70B2">
            <w:pPr>
              <w:pStyle w:val="ListParagraph"/>
              <w:numPr>
                <w:ilvl w:val="0"/>
                <w:numId w:val="6"/>
              </w:numPr>
              <w:spacing w:beforeLines="60" w:before="144" w:afterLines="60" w:after="144"/>
              <w:rPr>
                <w:rFonts w:ascii="Arial" w:hAnsi="Arial" w:cs="Arial"/>
              </w:rPr>
            </w:pPr>
            <w:r w:rsidRPr="00E800E8">
              <w:rPr>
                <w:rFonts w:ascii="Arial" w:hAnsi="Arial" w:cs="Arial"/>
              </w:rPr>
              <w:t>Performance standard does not warrant further support</w:t>
            </w:r>
          </w:p>
          <w:p w:rsidR="008C70B2" w:rsidRPr="00E800E8" w:rsidRDefault="008C70B2" w:rsidP="006A5077">
            <w:pPr>
              <w:spacing w:beforeLines="60" w:before="144" w:afterLines="60" w:after="144"/>
              <w:rPr>
                <w:rFonts w:ascii="Arial" w:hAnsi="Arial" w:cs="Arial"/>
              </w:rPr>
            </w:pPr>
            <w:r w:rsidRPr="00E800E8">
              <w:rPr>
                <w:rFonts w:ascii="Arial" w:hAnsi="Arial" w:cs="Arial"/>
              </w:rPr>
              <w:t>T</w:t>
            </w:r>
            <w:r w:rsidR="00637A8A">
              <w:rPr>
                <w:rFonts w:ascii="Arial" w:hAnsi="Arial" w:cs="Arial"/>
              </w:rPr>
              <w:t>he WGI Operations Manag</w:t>
            </w:r>
            <w:r w:rsidRPr="00E800E8">
              <w:rPr>
                <w:rFonts w:ascii="Arial" w:hAnsi="Arial" w:cs="Arial"/>
              </w:rPr>
              <w:t xml:space="preserve">er will inform players being removed from the </w:t>
            </w:r>
            <w:r>
              <w:rPr>
                <w:rFonts w:ascii="Arial" w:hAnsi="Arial" w:cs="Arial"/>
              </w:rPr>
              <w:t xml:space="preserve">Performance or Development </w:t>
            </w:r>
            <w:r w:rsidR="00EC6433">
              <w:rPr>
                <w:rFonts w:ascii="Arial" w:hAnsi="Arial" w:cs="Arial"/>
              </w:rPr>
              <w:t>TDP</w:t>
            </w:r>
            <w:r w:rsidRPr="00E800E8">
              <w:rPr>
                <w:rFonts w:ascii="Arial" w:hAnsi="Arial" w:cs="Arial"/>
              </w:rPr>
              <w:t xml:space="preserve"> in person and with a clear explanation of the decision.</w:t>
            </w:r>
          </w:p>
          <w:p w:rsidR="008C70B2" w:rsidRPr="00E800E8" w:rsidRDefault="008C70B2" w:rsidP="006A5077">
            <w:pPr>
              <w:spacing w:beforeLines="60" w:before="144" w:afterLines="60" w:after="144"/>
              <w:rPr>
                <w:rFonts w:ascii="Arial" w:hAnsi="Arial" w:cs="Arial"/>
              </w:rPr>
            </w:pPr>
            <w:r>
              <w:rPr>
                <w:rFonts w:ascii="Arial" w:hAnsi="Arial" w:cs="Arial"/>
              </w:rPr>
              <w:t xml:space="preserve">Should an </w:t>
            </w:r>
            <w:r w:rsidR="00EC6433">
              <w:rPr>
                <w:rFonts w:ascii="Arial" w:hAnsi="Arial" w:cs="Arial"/>
              </w:rPr>
              <w:t>TDP</w:t>
            </w:r>
            <w:r>
              <w:rPr>
                <w:rFonts w:ascii="Arial" w:hAnsi="Arial" w:cs="Arial"/>
              </w:rPr>
              <w:t xml:space="preserve"> member wish to appeal a decision regarding membership in the </w:t>
            </w:r>
            <w:r w:rsidR="00EC6433">
              <w:rPr>
                <w:rFonts w:ascii="Arial" w:hAnsi="Arial" w:cs="Arial"/>
              </w:rPr>
              <w:t>TDP</w:t>
            </w:r>
            <w:r>
              <w:rPr>
                <w:rFonts w:ascii="Arial" w:hAnsi="Arial" w:cs="Arial"/>
              </w:rPr>
              <w:t xml:space="preserve">, they are to submit their request in writing to the Chair of the Match Committee, c/- WGI office, PO Box 38-856, Wellington Mail Centre, Lower Hutt 5045  or via email </w:t>
            </w:r>
            <w:hyperlink r:id="rId13" w:history="1">
              <w:r w:rsidRPr="008402E9">
                <w:rPr>
                  <w:rStyle w:val="Hyperlink"/>
                  <w:rFonts w:ascii="Arial" w:hAnsi="Arial" w:cs="Arial"/>
                </w:rPr>
                <w:t>office@wgi.co.nz</w:t>
              </w:r>
            </w:hyperlink>
            <w:r>
              <w:rPr>
                <w:rFonts w:ascii="Arial" w:hAnsi="Arial" w:cs="Arial"/>
              </w:rPr>
              <w:t xml:space="preserve"> </w:t>
            </w:r>
          </w:p>
          <w:p w:rsidR="008C70B2" w:rsidRPr="00E800E8" w:rsidRDefault="008C70B2" w:rsidP="006A5077">
            <w:pPr>
              <w:spacing w:beforeLines="60" w:before="144" w:afterLines="60" w:after="144"/>
              <w:rPr>
                <w:rFonts w:ascii="Arial" w:hAnsi="Arial" w:cs="Arial"/>
                <w:b/>
              </w:rPr>
            </w:pPr>
          </w:p>
        </w:tc>
      </w:tr>
    </w:tbl>
    <w:p w:rsidR="008C70B2" w:rsidRPr="00E800E8" w:rsidRDefault="008C70B2" w:rsidP="008C70B2">
      <w:pPr>
        <w:spacing w:beforeLines="60" w:before="144" w:afterLines="60" w:after="144" w:line="240" w:lineRule="auto"/>
        <w:rPr>
          <w:rFonts w:ascii="Arial" w:hAnsi="Arial" w:cs="Arial"/>
        </w:rPr>
      </w:pPr>
    </w:p>
    <w:p w:rsidR="008C70B2" w:rsidRDefault="008C70B2" w:rsidP="008C70B2">
      <w:pPr>
        <w:spacing w:beforeLines="60" w:before="144" w:afterLines="60" w:after="144" w:line="240" w:lineRule="auto"/>
        <w:rPr>
          <w:rFonts w:ascii="Arial" w:hAnsi="Arial" w:cs="Arial"/>
        </w:rPr>
      </w:pPr>
      <w:r w:rsidRPr="00E800E8">
        <w:rPr>
          <w:rFonts w:ascii="Arial" w:hAnsi="Arial" w:cs="Arial"/>
        </w:rPr>
        <w:t>Wellington Golf reserves the right to amend this policy at any stage, and notification of amendments will be made via the Wellington Golf Website</w:t>
      </w:r>
      <w:r>
        <w:rPr>
          <w:rFonts w:ascii="Arial" w:hAnsi="Arial" w:cs="Arial"/>
        </w:rPr>
        <w:t xml:space="preserve"> </w:t>
      </w:r>
      <w:hyperlink r:id="rId14" w:history="1">
        <w:r w:rsidRPr="008402E9">
          <w:rPr>
            <w:rStyle w:val="Hyperlink"/>
            <w:rFonts w:ascii="Arial" w:hAnsi="Arial" w:cs="Arial"/>
          </w:rPr>
          <w:t>www.wgi.co.nz</w:t>
        </w:r>
      </w:hyperlink>
      <w:r>
        <w:rPr>
          <w:rFonts w:ascii="Arial" w:hAnsi="Arial" w:cs="Arial"/>
        </w:rPr>
        <w:t xml:space="preserve"> </w:t>
      </w:r>
    </w:p>
    <w:p w:rsidR="008C70B2" w:rsidRDefault="008C70B2" w:rsidP="008C70B2">
      <w:pPr>
        <w:rPr>
          <w:rFonts w:ascii="Arial" w:hAnsi="Arial" w:cs="Arial"/>
        </w:rPr>
      </w:pPr>
      <w:r>
        <w:rPr>
          <w:rFonts w:ascii="Arial" w:hAnsi="Arial" w:cs="Arial"/>
        </w:rPr>
        <w:br w:type="page"/>
      </w:r>
    </w:p>
    <w:p w:rsidR="008C70B2" w:rsidRPr="0095234D" w:rsidRDefault="008C70B2" w:rsidP="008C70B2">
      <w:pPr>
        <w:spacing w:beforeLines="60" w:before="144" w:afterLines="60" w:after="144" w:line="240" w:lineRule="auto"/>
        <w:rPr>
          <w:rFonts w:ascii="Arial" w:hAnsi="Arial" w:cs="Arial"/>
          <w:b/>
          <w:sz w:val="24"/>
        </w:rPr>
      </w:pPr>
      <w:r w:rsidRPr="0095234D">
        <w:rPr>
          <w:rFonts w:ascii="Arial" w:hAnsi="Arial" w:cs="Arial"/>
          <w:b/>
          <w:sz w:val="24"/>
        </w:rPr>
        <w:lastRenderedPageBreak/>
        <w:t>Appendix One:  Order of Merit Events</w:t>
      </w:r>
    </w:p>
    <w:p w:rsidR="008C70B2" w:rsidRDefault="008C70B2" w:rsidP="008C70B2">
      <w:pPr>
        <w:spacing w:beforeLines="60" w:before="144" w:afterLines="60" w:after="144" w:line="240" w:lineRule="auto"/>
        <w:rPr>
          <w:rFonts w:ascii="Arial" w:hAnsi="Arial" w:cs="Arial"/>
        </w:rPr>
      </w:pPr>
    </w:p>
    <w:p w:rsidR="008C70B2" w:rsidRPr="0095234D" w:rsidRDefault="00637A8A" w:rsidP="008C70B2">
      <w:pPr>
        <w:spacing w:beforeLines="60" w:before="144" w:afterLines="60" w:after="144" w:line="240" w:lineRule="auto"/>
        <w:rPr>
          <w:rFonts w:ascii="Arial" w:hAnsi="Arial" w:cs="Arial"/>
          <w:u w:val="single"/>
        </w:rPr>
      </w:pPr>
      <w:r w:rsidRPr="00637A8A">
        <w:rPr>
          <w:rFonts w:ascii="Arial" w:hAnsi="Arial" w:cs="Arial"/>
        </w:rPr>
        <w:t xml:space="preserve">A list of </w:t>
      </w:r>
      <w:r w:rsidR="008C70B2" w:rsidRPr="00637A8A">
        <w:rPr>
          <w:rFonts w:ascii="Arial" w:hAnsi="Arial" w:cs="Arial"/>
        </w:rPr>
        <w:t>U19 Order of Merit Events</w:t>
      </w:r>
      <w:r w:rsidRPr="00637A8A">
        <w:rPr>
          <w:rFonts w:ascii="Arial" w:hAnsi="Arial" w:cs="Arial"/>
        </w:rPr>
        <w:t xml:space="preserve"> can be viewed and downloaded at</w:t>
      </w:r>
      <w:r>
        <w:rPr>
          <w:rFonts w:ascii="Arial" w:hAnsi="Arial" w:cs="Arial"/>
          <w:u w:val="single"/>
        </w:rPr>
        <w:t xml:space="preserve"> </w:t>
      </w:r>
      <w:hyperlink r:id="rId15" w:history="1">
        <w:r w:rsidRPr="00637A8A">
          <w:rPr>
            <w:rStyle w:val="Hyperlink"/>
            <w:rFonts w:ascii="Arial" w:hAnsi="Arial" w:cs="Arial"/>
          </w:rPr>
          <w:t>http://wgi.co.nz/representative/oom</w:t>
        </w:r>
      </w:hyperlink>
    </w:p>
    <w:p w:rsidR="008C70B2" w:rsidRPr="00E800E8" w:rsidRDefault="008C70B2" w:rsidP="008C70B2">
      <w:pPr>
        <w:spacing w:beforeLines="60" w:before="144" w:afterLines="60" w:after="144" w:line="240" w:lineRule="auto"/>
        <w:rPr>
          <w:rFonts w:ascii="Arial" w:hAnsi="Arial" w:cs="Arial"/>
        </w:rPr>
      </w:pPr>
    </w:p>
    <w:p w:rsidR="003667A9" w:rsidRDefault="003667A9"/>
    <w:sectPr w:rsidR="003667A9" w:rsidSect="003C7E93">
      <w:type w:val="continuous"/>
      <w:pgSz w:w="11909" w:h="16834" w:code="9"/>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68" w:rsidRDefault="00E52168" w:rsidP="008C70B2">
      <w:pPr>
        <w:spacing w:after="0" w:line="240" w:lineRule="auto"/>
      </w:pPr>
      <w:r>
        <w:separator/>
      </w:r>
    </w:p>
  </w:endnote>
  <w:endnote w:type="continuationSeparator" w:id="0">
    <w:p w:rsidR="00E52168" w:rsidRDefault="00E52168" w:rsidP="008C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E8" w:rsidRPr="00F00351" w:rsidRDefault="00E52168" w:rsidP="00E800E8">
    <w:pPr>
      <w:pStyle w:val="Footer"/>
      <w:pBdr>
        <w:top w:val="single" w:sz="4" w:space="1" w:color="auto"/>
      </w:pBdr>
      <w:tabs>
        <w:tab w:val="clear" w:pos="9026"/>
        <w:tab w:val="center" w:pos="4819"/>
        <w:tab w:val="right" w:pos="9639"/>
      </w:tabs>
      <w:rPr>
        <w:i/>
        <w:sz w:val="16"/>
      </w:rPr>
    </w:pPr>
    <w:r w:rsidRPr="00F00351">
      <w:rPr>
        <w:i/>
        <w:sz w:val="16"/>
      </w:rPr>
      <w:t>As at</w:t>
    </w:r>
    <w:r>
      <w:rPr>
        <w:i/>
        <w:sz w:val="16"/>
      </w:rPr>
      <w:t xml:space="preserve"> </w:t>
    </w:r>
    <w:sdt>
      <w:sdtPr>
        <w:rPr>
          <w:i/>
          <w:sz w:val="16"/>
        </w:rPr>
        <w:alias w:val="Publish Date"/>
        <w:id w:val="1849135854"/>
        <w:placeholder>
          <w:docPart w:val="83AEFA865D534EF38C8BC48312856A08"/>
        </w:placeholder>
        <w:dataBinding w:prefixMappings="xmlns:ns0='http://schemas.microsoft.com/office/2006/coverPageProps' " w:xpath="/ns0:CoverPageProperties[1]/ns0:PublishDate[1]" w:storeItemID="{55AF091B-3C7A-41E3-B477-F2FDAA23CFDA}"/>
        <w:date w:fullDate="2019-03-28T00:00:00Z">
          <w:dateFormat w:val="d/MM/yyyy"/>
          <w:lid w:val="en-NZ"/>
          <w:storeMappedDataAs w:val="dateTime"/>
          <w:calendar w:val="gregorian"/>
        </w:date>
      </w:sdtPr>
      <w:sdtEndPr/>
      <w:sdtContent>
        <w:r w:rsidR="00CA161A">
          <w:rPr>
            <w:i/>
            <w:sz w:val="16"/>
          </w:rPr>
          <w:t>28/03/2019</w:t>
        </w:r>
      </w:sdtContent>
    </w:sdt>
    <w:r w:rsidRPr="00F00351">
      <w:rPr>
        <w:i/>
        <w:sz w:val="16"/>
      </w:rPr>
      <w:tab/>
      <w:t xml:space="preserve"> </w:t>
    </w:r>
    <w:r w:rsidRPr="00F00351">
      <w:rPr>
        <w:i/>
        <w:sz w:val="16"/>
      </w:rPr>
      <w:tab/>
      <w:t xml:space="preserve"> </w:t>
    </w:r>
    <w:r w:rsidRPr="00F00351">
      <w:rPr>
        <w:i/>
        <w:sz w:val="16"/>
      </w:rPr>
      <w:tab/>
      <w:t xml:space="preserve">Page </w:t>
    </w:r>
    <w:r w:rsidRPr="00F00351">
      <w:rPr>
        <w:i/>
        <w:sz w:val="16"/>
      </w:rPr>
      <w:fldChar w:fldCharType="begin"/>
    </w:r>
    <w:r w:rsidRPr="00F00351">
      <w:rPr>
        <w:i/>
        <w:sz w:val="16"/>
      </w:rPr>
      <w:instrText xml:space="preserve"> PAGE  \* Arabic  \* MERGEFORMAT </w:instrText>
    </w:r>
    <w:r w:rsidRPr="00F00351">
      <w:rPr>
        <w:i/>
        <w:sz w:val="16"/>
      </w:rPr>
      <w:fldChar w:fldCharType="separate"/>
    </w:r>
    <w:r w:rsidR="00CA161A">
      <w:rPr>
        <w:i/>
        <w:noProof/>
        <w:sz w:val="16"/>
      </w:rPr>
      <w:t>2</w:t>
    </w:r>
    <w:r w:rsidRPr="00F00351">
      <w:rPr>
        <w:i/>
        <w:sz w:val="16"/>
      </w:rPr>
      <w:fldChar w:fldCharType="end"/>
    </w:r>
    <w:r w:rsidRPr="00F00351">
      <w:rPr>
        <w:i/>
        <w:sz w:val="16"/>
      </w:rPr>
      <w:t xml:space="preserve"> of </w:t>
    </w:r>
    <w:r w:rsidR="00CA161A">
      <w:rPr>
        <w:i/>
        <w:noProof/>
        <w:sz w:val="16"/>
      </w:rPr>
      <w:fldChar w:fldCharType="begin"/>
    </w:r>
    <w:r w:rsidR="00CA161A">
      <w:rPr>
        <w:i/>
        <w:noProof/>
        <w:sz w:val="16"/>
      </w:rPr>
      <w:instrText xml:space="preserve"> NUMPAGES   \* MERGEFORMAT </w:instrText>
    </w:r>
    <w:r w:rsidR="00CA161A">
      <w:rPr>
        <w:i/>
        <w:noProof/>
        <w:sz w:val="16"/>
      </w:rPr>
      <w:fldChar w:fldCharType="separate"/>
    </w:r>
    <w:r w:rsidR="00CA161A">
      <w:rPr>
        <w:i/>
        <w:noProof/>
        <w:sz w:val="16"/>
      </w:rPr>
      <w:t>6</w:t>
    </w:r>
    <w:r w:rsidR="00CA161A">
      <w:rPr>
        <w:i/>
        <w:noProof/>
        <w:sz w:val="16"/>
      </w:rPr>
      <w:fldChar w:fldCharType="end"/>
    </w:r>
  </w:p>
  <w:p w:rsidR="007238CA" w:rsidRPr="00891D8B" w:rsidRDefault="00CA161A">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E8" w:rsidRPr="00F00351" w:rsidRDefault="00E52168" w:rsidP="00E800E8">
    <w:pPr>
      <w:pStyle w:val="Footer"/>
      <w:pBdr>
        <w:top w:val="single" w:sz="4" w:space="1" w:color="auto"/>
      </w:pBdr>
      <w:tabs>
        <w:tab w:val="clear" w:pos="9026"/>
        <w:tab w:val="center" w:pos="4819"/>
        <w:tab w:val="right" w:pos="9639"/>
      </w:tabs>
      <w:rPr>
        <w:i/>
        <w:sz w:val="16"/>
      </w:rPr>
    </w:pPr>
    <w:r w:rsidRPr="00F00351">
      <w:rPr>
        <w:i/>
        <w:sz w:val="16"/>
      </w:rPr>
      <w:t>As at</w:t>
    </w:r>
    <w:r>
      <w:rPr>
        <w:i/>
        <w:sz w:val="16"/>
      </w:rPr>
      <w:t xml:space="preserve"> </w:t>
    </w:r>
    <w:sdt>
      <w:sdtPr>
        <w:rPr>
          <w:i/>
          <w:sz w:val="16"/>
        </w:rPr>
        <w:alias w:val="Publish Date"/>
        <w:id w:val="284246795"/>
        <w:placeholder>
          <w:docPart w:val="5521A4D5C00B4E999D7AFBB3AB9BBEB6"/>
        </w:placeholder>
        <w:dataBinding w:prefixMappings="xmlns:ns0='http://schemas.microsoft.com/office/2006/coverPageProps' " w:xpath="/ns0:CoverPageProperties[1]/ns0:PublishDate[1]" w:storeItemID="{55AF091B-3C7A-41E3-B477-F2FDAA23CFDA}"/>
        <w:date w:fullDate="2019-03-28T00:00:00Z">
          <w:dateFormat w:val="d/MM/yyyy"/>
          <w:lid w:val="en-NZ"/>
          <w:storeMappedDataAs w:val="dateTime"/>
          <w:calendar w:val="gregorian"/>
        </w:date>
      </w:sdtPr>
      <w:sdtEndPr/>
      <w:sdtContent>
        <w:r w:rsidR="00CA161A">
          <w:rPr>
            <w:i/>
            <w:sz w:val="16"/>
          </w:rPr>
          <w:t>28/03/2019</w:t>
        </w:r>
      </w:sdtContent>
    </w:sdt>
    <w:r w:rsidRPr="00F00351">
      <w:rPr>
        <w:i/>
        <w:sz w:val="16"/>
      </w:rPr>
      <w:tab/>
      <w:t xml:space="preserve"> </w:t>
    </w:r>
    <w:r w:rsidRPr="00F00351">
      <w:rPr>
        <w:i/>
        <w:sz w:val="16"/>
      </w:rPr>
      <w:tab/>
      <w:t xml:space="preserve"> </w:t>
    </w:r>
    <w:r w:rsidRPr="00F00351">
      <w:rPr>
        <w:i/>
        <w:sz w:val="16"/>
      </w:rPr>
      <w:tab/>
      <w:t xml:space="preserve">Page </w:t>
    </w:r>
    <w:r w:rsidRPr="00F00351">
      <w:rPr>
        <w:i/>
        <w:sz w:val="16"/>
      </w:rPr>
      <w:fldChar w:fldCharType="begin"/>
    </w:r>
    <w:r w:rsidRPr="00F00351">
      <w:rPr>
        <w:i/>
        <w:sz w:val="16"/>
      </w:rPr>
      <w:instrText xml:space="preserve"> PAGE  \* Arabic  \* MERGEFORMAT </w:instrText>
    </w:r>
    <w:r w:rsidRPr="00F00351">
      <w:rPr>
        <w:i/>
        <w:sz w:val="16"/>
      </w:rPr>
      <w:fldChar w:fldCharType="separate"/>
    </w:r>
    <w:r w:rsidR="00CA161A">
      <w:rPr>
        <w:i/>
        <w:noProof/>
        <w:sz w:val="16"/>
      </w:rPr>
      <w:t>1</w:t>
    </w:r>
    <w:r w:rsidRPr="00F00351">
      <w:rPr>
        <w:i/>
        <w:sz w:val="16"/>
      </w:rPr>
      <w:fldChar w:fldCharType="end"/>
    </w:r>
    <w:r w:rsidRPr="00F00351">
      <w:rPr>
        <w:i/>
        <w:sz w:val="16"/>
      </w:rPr>
      <w:t xml:space="preserve"> of </w:t>
    </w:r>
    <w:r w:rsidR="00CA161A">
      <w:rPr>
        <w:i/>
        <w:noProof/>
        <w:sz w:val="16"/>
      </w:rPr>
      <w:fldChar w:fldCharType="begin"/>
    </w:r>
    <w:r w:rsidR="00CA161A">
      <w:rPr>
        <w:i/>
        <w:noProof/>
        <w:sz w:val="16"/>
      </w:rPr>
      <w:instrText xml:space="preserve"> NUMPAGES   \* MERGEFORMAT </w:instrText>
    </w:r>
    <w:r w:rsidR="00CA161A">
      <w:rPr>
        <w:i/>
        <w:noProof/>
        <w:sz w:val="16"/>
      </w:rPr>
      <w:fldChar w:fldCharType="separate"/>
    </w:r>
    <w:r w:rsidR="00CA161A">
      <w:rPr>
        <w:i/>
        <w:noProof/>
        <w:sz w:val="16"/>
      </w:rPr>
      <w:t>6</w:t>
    </w:r>
    <w:r w:rsidR="00CA161A">
      <w:rPr>
        <w:i/>
        <w:noProof/>
        <w:sz w:val="16"/>
      </w:rPr>
      <w:fldChar w:fldCharType="end"/>
    </w:r>
  </w:p>
  <w:p w:rsidR="00E800E8" w:rsidRDefault="00CA161A" w:rsidP="00E800E8">
    <w:pPr>
      <w:pStyle w:val="Footer"/>
      <w:tabs>
        <w:tab w:val="clear" w:pos="9026"/>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68" w:rsidRDefault="00E52168" w:rsidP="008C70B2">
      <w:pPr>
        <w:spacing w:after="0" w:line="240" w:lineRule="auto"/>
      </w:pPr>
      <w:r>
        <w:separator/>
      </w:r>
    </w:p>
  </w:footnote>
  <w:footnote w:type="continuationSeparator" w:id="0">
    <w:p w:rsidR="00E52168" w:rsidRDefault="00E52168" w:rsidP="008C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E8" w:rsidRPr="00D37F1E" w:rsidRDefault="00CA161A" w:rsidP="00D37F1E">
    <w:pPr>
      <w:pStyle w:val="Header"/>
      <w:pBdr>
        <w:bottom w:val="single" w:sz="4" w:space="1" w:color="auto"/>
      </w:pBdr>
      <w:rPr>
        <w:sz w:val="20"/>
        <w:szCs w:val="24"/>
      </w:rPr>
    </w:pPr>
    <w:sdt>
      <w:sdtPr>
        <w:rPr>
          <w:rFonts w:eastAsiaTheme="majorEastAsia"/>
          <w:sz w:val="20"/>
          <w:szCs w:val="24"/>
        </w:rPr>
        <w:alias w:val="Title"/>
        <w:id w:val="60990654"/>
        <w:placeholder>
          <w:docPart w:val="4D9ACFFA28104FB69F69FD17524C4114"/>
        </w:placeholder>
        <w:dataBinding w:prefixMappings="xmlns:ns0='http://schemas.openxmlformats.org/package/2006/metadata/core-properties' xmlns:ns1='http://purl.org/dc/elements/1.1/'" w:xpath="/ns0:coreProperties[1]/ns1:title[1]" w:storeItemID="{6C3C8BC8-F283-45AE-878A-BAB7291924A1}"/>
        <w:text/>
      </w:sdtPr>
      <w:sdtEndPr/>
      <w:sdtContent>
        <w:r w:rsidR="00EC6433">
          <w:rPr>
            <w:rFonts w:eastAsiaTheme="majorEastAsia"/>
            <w:sz w:val="20"/>
            <w:szCs w:val="24"/>
          </w:rPr>
          <w:t>WGI TDP</w:t>
        </w:r>
        <w:r w:rsidR="008C70B2">
          <w:rPr>
            <w:rFonts w:eastAsiaTheme="majorEastAsia"/>
            <w:sz w:val="20"/>
            <w:szCs w:val="24"/>
          </w:rPr>
          <w:t xml:space="preserve"> Selection Policy &amp; Process</w:t>
        </w:r>
      </w:sdtContent>
    </w:sdt>
    <w:r w:rsidR="00E52168" w:rsidRPr="00D37F1E">
      <w:rPr>
        <w:rFonts w:eastAsiaTheme="majorEastAsia"/>
        <w:sz w:val="20"/>
        <w:szCs w:val="24"/>
      </w:rPr>
      <w:ptab w:relativeTo="margin" w:alignment="right" w:leader="none"/>
    </w:r>
  </w:p>
  <w:p w:rsidR="004D6403" w:rsidRPr="000F0E2A" w:rsidRDefault="00CA161A">
    <w:pPr>
      <w:pStyle w:val="Header"/>
      <w:rPr>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21"/>
      <w:gridCol w:w="1621"/>
    </w:tblGrid>
    <w:tr w:rsidR="00E800E8" w:rsidRPr="00444169" w:rsidTr="00444169">
      <w:tc>
        <w:tcPr>
          <w:tcW w:w="7621" w:type="dxa"/>
          <w:shd w:val="clear" w:color="auto" w:fill="auto"/>
        </w:tcPr>
        <w:p w:rsidR="00E800E8" w:rsidRPr="00444169" w:rsidRDefault="00E52168" w:rsidP="00444169">
          <w:pPr>
            <w:pStyle w:val="Header"/>
            <w:tabs>
              <w:tab w:val="center" w:pos="4153"/>
              <w:tab w:val="right" w:pos="8306"/>
            </w:tabs>
            <w:spacing w:before="240"/>
            <w:jc w:val="right"/>
            <w:rPr>
              <w:rFonts w:ascii="Verdana" w:hAnsi="Verdana"/>
              <w:sz w:val="36"/>
              <w:szCs w:val="40"/>
            </w:rPr>
          </w:pPr>
          <w:r w:rsidRPr="00444169">
            <w:rPr>
              <w:rFonts w:ascii="Batang" w:eastAsia="Batang" w:hAnsi="Batang" w:cs="Times New Roman"/>
              <w:b/>
              <w:sz w:val="36"/>
              <w:szCs w:val="40"/>
              <w:lang w:eastAsia="en-GB"/>
            </w:rPr>
            <w:t>Wellington Golf Incorporated</w:t>
          </w:r>
        </w:p>
      </w:tc>
      <w:tc>
        <w:tcPr>
          <w:tcW w:w="1621" w:type="dxa"/>
          <w:shd w:val="clear" w:color="auto" w:fill="auto"/>
        </w:tcPr>
        <w:p w:rsidR="00E800E8" w:rsidRPr="00444169" w:rsidRDefault="00E52168" w:rsidP="00444169">
          <w:pPr>
            <w:jc w:val="right"/>
            <w:rPr>
              <w:sz w:val="36"/>
            </w:rPr>
          </w:pPr>
          <w:r>
            <w:rPr>
              <w:noProof/>
              <w:sz w:val="36"/>
              <w:lang w:val="en-US" w:eastAsia="en-US"/>
            </w:rPr>
            <w:drawing>
              <wp:inline distT="0" distB="0" distL="0" distR="0">
                <wp:extent cx="616585" cy="648335"/>
                <wp:effectExtent l="0" t="0" r="0" b="0"/>
                <wp:docPr id="3" name="Picture 1" descr="Shirt Logo W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t Logo W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48335"/>
                        </a:xfrm>
                        <a:prstGeom prst="rect">
                          <a:avLst/>
                        </a:prstGeom>
                        <a:noFill/>
                        <a:ln>
                          <a:noFill/>
                        </a:ln>
                      </pic:spPr>
                    </pic:pic>
                  </a:graphicData>
                </a:graphic>
              </wp:inline>
            </w:drawing>
          </w:r>
        </w:p>
      </w:tc>
    </w:tr>
  </w:tbl>
  <w:p w:rsidR="00E800E8" w:rsidRDefault="00CA1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B79"/>
    <w:multiLevelType w:val="hybridMultilevel"/>
    <w:tmpl w:val="B83C8F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2A2596"/>
    <w:multiLevelType w:val="hybridMultilevel"/>
    <w:tmpl w:val="62AE1F30"/>
    <w:lvl w:ilvl="0" w:tplc="61BAB358">
      <w:start w:val="2"/>
      <w:numFmt w:val="bullet"/>
      <w:lvlText w:val="-"/>
      <w:lvlJc w:val="left"/>
      <w:pPr>
        <w:ind w:left="720" w:hanging="360"/>
      </w:pPr>
      <w:rPr>
        <w:rFonts w:ascii="Verdana" w:eastAsiaTheme="minorEastAsia"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3B1150"/>
    <w:multiLevelType w:val="hybridMultilevel"/>
    <w:tmpl w:val="B6B02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11087A"/>
    <w:multiLevelType w:val="hybridMultilevel"/>
    <w:tmpl w:val="BB066060"/>
    <w:lvl w:ilvl="0" w:tplc="61BAB358">
      <w:start w:val="2"/>
      <w:numFmt w:val="bullet"/>
      <w:lvlText w:val="-"/>
      <w:lvlJc w:val="left"/>
      <w:pPr>
        <w:ind w:left="720" w:hanging="360"/>
      </w:pPr>
      <w:rPr>
        <w:rFonts w:ascii="Verdana" w:eastAsiaTheme="minorEastAsia"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9800B5"/>
    <w:multiLevelType w:val="hybridMultilevel"/>
    <w:tmpl w:val="7BB2B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11768D"/>
    <w:multiLevelType w:val="hybridMultilevel"/>
    <w:tmpl w:val="AB1A87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B2"/>
    <w:rsid w:val="002C1477"/>
    <w:rsid w:val="003667A9"/>
    <w:rsid w:val="0049097C"/>
    <w:rsid w:val="00637A8A"/>
    <w:rsid w:val="006500D6"/>
    <w:rsid w:val="006816A5"/>
    <w:rsid w:val="00744817"/>
    <w:rsid w:val="007D3930"/>
    <w:rsid w:val="007E6ED0"/>
    <w:rsid w:val="008C70B2"/>
    <w:rsid w:val="009A7E39"/>
    <w:rsid w:val="00AB65D7"/>
    <w:rsid w:val="00CA161A"/>
    <w:rsid w:val="00E52168"/>
    <w:rsid w:val="00EC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1B419-E73B-425B-BD52-6FF0D35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B2"/>
    <w:rPr>
      <w:rFonts w:eastAsiaTheme="minorEastAsi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B2"/>
    <w:pPr>
      <w:ind w:left="720"/>
      <w:contextualSpacing/>
    </w:pPr>
    <w:rPr>
      <w:rFonts w:ascii="Calibri" w:eastAsia="Calibri" w:hAnsi="Calibri" w:cs="Times New Roman"/>
    </w:rPr>
  </w:style>
  <w:style w:type="table" w:styleId="TableGrid">
    <w:name w:val="Table Grid"/>
    <w:basedOn w:val="TableNormal"/>
    <w:uiPriority w:val="59"/>
    <w:rsid w:val="008C70B2"/>
    <w:pPr>
      <w:spacing w:after="0" w:line="240" w:lineRule="auto"/>
    </w:pPr>
    <w:rPr>
      <w:rFonts w:eastAsiaTheme="minorEastAsia"/>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B2"/>
    <w:rPr>
      <w:rFonts w:eastAsiaTheme="minorEastAsia"/>
      <w:lang w:val="en-NZ" w:eastAsia="en-NZ"/>
    </w:rPr>
  </w:style>
  <w:style w:type="paragraph" w:styleId="Footer">
    <w:name w:val="footer"/>
    <w:basedOn w:val="Normal"/>
    <w:link w:val="FooterChar"/>
    <w:uiPriority w:val="99"/>
    <w:unhideWhenUsed/>
    <w:rsid w:val="008C7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B2"/>
    <w:rPr>
      <w:rFonts w:eastAsiaTheme="minorEastAsia"/>
      <w:lang w:val="en-NZ" w:eastAsia="en-NZ"/>
    </w:rPr>
  </w:style>
  <w:style w:type="character" w:styleId="PlaceholderText">
    <w:name w:val="Placeholder Text"/>
    <w:basedOn w:val="DefaultParagraphFont"/>
    <w:uiPriority w:val="99"/>
    <w:semiHidden/>
    <w:rsid w:val="008C70B2"/>
  </w:style>
  <w:style w:type="character" w:styleId="Hyperlink">
    <w:name w:val="Hyperlink"/>
    <w:basedOn w:val="DefaultParagraphFont"/>
    <w:uiPriority w:val="99"/>
    <w:unhideWhenUsed/>
    <w:rsid w:val="008C70B2"/>
    <w:rPr>
      <w:color w:val="0000FF" w:themeColor="hyperlink"/>
      <w:u w:val="single"/>
    </w:rPr>
  </w:style>
  <w:style w:type="paragraph" w:styleId="BalloonText">
    <w:name w:val="Balloon Text"/>
    <w:basedOn w:val="Normal"/>
    <w:link w:val="BalloonTextChar"/>
    <w:uiPriority w:val="99"/>
    <w:semiHidden/>
    <w:unhideWhenUsed/>
    <w:rsid w:val="008C7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2"/>
    <w:rPr>
      <w:rFonts w:ascii="Tahoma" w:eastAsiaTheme="minorEastAsia" w:hAnsi="Tahoma" w:cs="Tahoma"/>
      <w:sz w:val="16"/>
      <w:szCs w:val="1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wgi.co.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gi.co.nz/representative/selecto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gi.co.nz/representative/o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gi.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ACFFA28104FB69F69FD17524C4114"/>
        <w:category>
          <w:name w:val="General"/>
          <w:gallery w:val="placeholder"/>
        </w:category>
        <w:types>
          <w:type w:val="bbPlcHdr"/>
        </w:types>
        <w:behaviors>
          <w:behavior w:val="content"/>
        </w:behaviors>
        <w:guid w:val="{4C085023-90D1-4C7D-AFE1-B842287F92E2}"/>
      </w:docPartPr>
      <w:docPartBody>
        <w:p w:rsidR="005F28E2" w:rsidRDefault="00DE4929" w:rsidP="00DE4929">
          <w:pPr>
            <w:pStyle w:val="4D9ACFFA28104FB69F69FD17524C4114"/>
          </w:pPr>
          <w:r>
            <w:rPr>
              <w:rFonts w:asciiTheme="majorHAnsi" w:eastAsiaTheme="majorEastAsia" w:hAnsiTheme="majorHAnsi" w:cstheme="majorBidi"/>
              <w:color w:val="5B9BD5" w:themeColor="accent1"/>
              <w:sz w:val="27"/>
              <w:szCs w:val="27"/>
            </w:rPr>
            <w:t>[Document title]</w:t>
          </w:r>
        </w:p>
      </w:docPartBody>
    </w:docPart>
    <w:docPart>
      <w:docPartPr>
        <w:name w:val="83AEFA865D534EF38C8BC48312856A08"/>
        <w:category>
          <w:name w:val="General"/>
          <w:gallery w:val="placeholder"/>
        </w:category>
        <w:types>
          <w:type w:val="bbPlcHdr"/>
        </w:types>
        <w:behaviors>
          <w:behavior w:val="content"/>
        </w:behaviors>
        <w:guid w:val="{58B3AE0C-18B8-46B9-8E1B-EE8538A71507}"/>
      </w:docPartPr>
      <w:docPartBody>
        <w:p w:rsidR="005F28E2" w:rsidRDefault="00DE4929" w:rsidP="00DE4929">
          <w:pPr>
            <w:pStyle w:val="83AEFA865D534EF38C8BC48312856A08"/>
          </w:pPr>
          <w:r>
            <w:rPr>
              <w:rStyle w:val="PlaceholderText"/>
            </w:rPr>
            <w:t>[Publish Date]</w:t>
          </w:r>
        </w:p>
      </w:docPartBody>
    </w:docPart>
    <w:docPart>
      <w:docPartPr>
        <w:name w:val="5521A4D5C00B4E999D7AFBB3AB9BBEB6"/>
        <w:category>
          <w:name w:val="General"/>
          <w:gallery w:val="placeholder"/>
        </w:category>
        <w:types>
          <w:type w:val="bbPlcHdr"/>
        </w:types>
        <w:behaviors>
          <w:behavior w:val="content"/>
        </w:behaviors>
        <w:guid w:val="{42B7B029-4411-4CFD-8390-8C25D8C5CDD9}"/>
      </w:docPartPr>
      <w:docPartBody>
        <w:p w:rsidR="005F28E2" w:rsidRDefault="00DE4929" w:rsidP="00DE4929">
          <w:pPr>
            <w:pStyle w:val="5521A4D5C00B4E999D7AFBB3AB9BBEB6"/>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E4929"/>
    <w:rsid w:val="005F28E2"/>
    <w:rsid w:val="008D4C92"/>
    <w:rsid w:val="00DE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ACFFA28104FB69F69FD17524C4114">
    <w:name w:val="4D9ACFFA28104FB69F69FD17524C4114"/>
    <w:rsid w:val="00DE4929"/>
  </w:style>
  <w:style w:type="character" w:styleId="PlaceholderText">
    <w:name w:val="Placeholder Text"/>
    <w:basedOn w:val="DefaultParagraphFont"/>
    <w:uiPriority w:val="99"/>
    <w:semiHidden/>
    <w:rsid w:val="00DE4929"/>
  </w:style>
  <w:style w:type="paragraph" w:customStyle="1" w:styleId="83AEFA865D534EF38C8BC48312856A08">
    <w:name w:val="83AEFA865D534EF38C8BC48312856A08"/>
    <w:rsid w:val="00DE4929"/>
  </w:style>
  <w:style w:type="paragraph" w:customStyle="1" w:styleId="5521A4D5C00B4E999D7AFBB3AB9BBEB6">
    <w:name w:val="5521A4D5C00B4E999D7AFBB3AB9BBEB6"/>
    <w:rsid w:val="00DE4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WGI TDP Selection Policy &amp; Process</vt:lpstr>
    </vt:vector>
  </TitlesOfParts>
  <Company>Toshiba</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 TDP Selection Policy &amp; Process</dc:title>
  <dc:creator>Peter</dc:creator>
  <cp:lastModifiedBy>Steve</cp:lastModifiedBy>
  <cp:revision>2</cp:revision>
  <cp:lastPrinted>2019-03-28T02:06:00Z</cp:lastPrinted>
  <dcterms:created xsi:type="dcterms:W3CDTF">2019-03-28T02:07:00Z</dcterms:created>
  <dcterms:modified xsi:type="dcterms:W3CDTF">2019-03-28T02:07:00Z</dcterms:modified>
</cp:coreProperties>
</file>